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color w:val="E8623C"/>
          <w:sz w:val="32"/>
          <w:szCs w:val="32"/>
        </w:rPr>
        <w:t xml:space="preserve">POSSOR</w:t>
      </w:r>
    </w:p>
    <w:p>
      <w:pPr>
        <w:spacing w:after="80"/>
        <w:jc w:val="center"/>
      </w:pPr>
      <w:r>
        <w:rPr>
          <w:b/>
          <w:bCs/>
          <w:sz w:val="26"/>
          <w:szCs w:val="26"/>
        </w:rPr>
        <w:t xml:space="preserve">Plano de Aula</w:t>
      </w:r>
    </w:p>
    <w:p>
      <w:pPr>
        <w:jc w:val="center"/>
      </w:pPr>
      <w:r>
        <w:rPr>
          <w:sz w:val="22"/>
          <w:szCs w:val="22"/>
        </w:rPr>
        <w:t xml:space="preserve">Módulo 15 — Biotecnologia e Engenharia Genética — Aula 127</w:t>
      </w:r>
    </w:p>
    <w:p>
      <w:pPr>
        <w:spacing w:after="300"/>
        <w:jc w:val="center"/>
      </w:pPr>
      <w:r>
        <w:rPr>
          <w:i/>
          <w:iCs/>
          <w:color w:val="555555"/>
          <w:sz w:val="20"/>
          <w:szCs w:val="20"/>
        </w:rPr>
        <w:t xml:space="preserve">DNA recombinante e enzimas de restrição</w:t>
      </w:r>
    </w:p>
    <w:p>
      <w:pPr>
        <w:pStyle w:val="Heading1"/>
        <w:spacing w:after="120" w:before="200"/>
      </w:pPr>
      <w:r>
        <w:t xml:space="preserve">1. Identificação</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50%"/>
            <w:shd w:fill="D9E2F3" w:val="clear"/>
          </w:tcPr>
          <w:p>
            <w:pPr>
              <w:jc w:val="center"/>
            </w:pPr>
            <w:r>
              <w:rPr>
                <w:b/>
                <w:bCs/>
              </w:rPr>
              <w:t xml:space="preserve">Campo</w:t>
            </w:r>
          </w:p>
        </w:tc>
        <w:tc>
          <w:tcPr>
            <w:tcW w:type="pct" w:w="50%"/>
            <w:shd w:fill="D9E2F3" w:val="clear"/>
          </w:tcPr>
          <w:p>
            <w:pPr>
              <w:jc w:val="center"/>
            </w:pPr>
            <w:r>
              <w:rPr>
                <w:b/>
                <w:bCs/>
              </w:rPr>
              <w:t xml:space="preserve">Informação</w:t>
            </w:r>
          </w:p>
        </w:tc>
      </w:tr>
      <w:tr>
        <w:tc>
          <w:tcPr>
            <w:tcW w:type="pct" w:w="50%"/>
          </w:tcPr>
          <w:p>
            <w:r>
              <w:rPr>
                <w:b w:val="false"/>
                <w:bCs w:val="false"/>
              </w:rPr>
              <w:t xml:space="preserve">Disciplina</w:t>
            </w:r>
          </w:p>
        </w:tc>
        <w:tc>
          <w:tcPr>
            <w:tcW w:type="pct" w:w="50%"/>
          </w:tcPr>
          <w:p>
            <w:r>
              <w:rPr>
                <w:b w:val="false"/>
                <w:bCs w:val="false"/>
              </w:rPr>
              <w:t xml:space="preserve">Biologia</w:t>
            </w:r>
          </w:p>
        </w:tc>
      </w:tr>
      <w:tr>
        <w:tc>
          <w:tcPr>
            <w:tcW w:type="pct" w:w="50%"/>
          </w:tcPr>
          <w:p>
            <w:r>
              <w:rPr>
                <w:b w:val="false"/>
                <w:bCs w:val="false"/>
              </w:rPr>
              <w:t xml:space="preserve">Módulo</w:t>
            </w:r>
          </w:p>
        </w:tc>
        <w:tc>
          <w:tcPr>
            <w:tcW w:type="pct" w:w="50%"/>
          </w:tcPr>
          <w:p>
            <w:r>
              <w:rPr>
                <w:b w:val="false"/>
                <w:bCs w:val="false"/>
              </w:rPr>
              <w:t xml:space="preserve">Biotecnologia e Engenharia Genética</w:t>
            </w:r>
          </w:p>
        </w:tc>
      </w:tr>
      <w:tr>
        <w:tc>
          <w:tcPr>
            <w:tcW w:type="pct" w:w="50%"/>
          </w:tcPr>
          <w:p>
            <w:r>
              <w:rPr>
                <w:b w:val="false"/>
                <w:bCs w:val="false"/>
              </w:rPr>
              <w:t xml:space="preserve">Aula</w:t>
            </w:r>
          </w:p>
        </w:tc>
        <w:tc>
          <w:tcPr>
            <w:tcW w:type="pct" w:w="50%"/>
          </w:tcPr>
          <w:p>
            <w:r>
              <w:rPr>
                <w:b w:val="false"/>
                <w:bCs w:val="false"/>
              </w:rPr>
              <w:t xml:space="preserve">1 de 6 (Aula 127 do currículo) — DNA recombinante e enzimas de restrição</w:t>
            </w:r>
          </w:p>
        </w:tc>
      </w:tr>
      <w:tr>
        <w:tc>
          <w:tcPr>
            <w:tcW w:type="pct" w:w="50%"/>
          </w:tcPr>
          <w:p>
            <w:r>
              <w:rPr>
                <w:b w:val="false"/>
                <w:bCs w:val="false"/>
              </w:rPr>
              <w:t xml:space="preserve">Série/Ano sugerido</w:t>
            </w:r>
          </w:p>
        </w:tc>
        <w:tc>
          <w:tcPr>
            <w:tcW w:type="pct" w:w="50%"/>
          </w:tcPr>
          <w:p>
            <w:r>
              <w:rPr>
                <w:b w:val="false"/>
                <w:bCs w:val="false"/>
              </w:rPr>
              <w:t xml:space="preserve">Ensino Médio (ajustável conforme necessidade de nivelamento)</w:t>
            </w:r>
          </w:p>
        </w:tc>
      </w:tr>
      <w:tr>
        <w:tc>
          <w:tcPr>
            <w:tcW w:type="pct" w:w="50%"/>
          </w:tcPr>
          <w:p>
            <w:r>
              <w:rPr>
                <w:b w:val="false"/>
                <w:bCs w:val="false"/>
              </w:rPr>
              <w:t xml:space="preserve">Duração prevista</w:t>
            </w:r>
          </w:p>
        </w:tc>
        <w:tc>
          <w:tcPr>
            <w:tcW w:type="pct" w:w="50%"/>
          </w:tcPr>
          <w:p>
            <w:r>
              <w:rPr>
                <w:b w:val="false"/>
                <w:bCs w:val="false"/>
              </w:rPr>
              <w:t xml:space="preserve">50 minutos (1 aula)</w:t>
            </w:r>
          </w:p>
        </w:tc>
      </w:tr>
      <w:tr>
        <w:tc>
          <w:tcPr>
            <w:tcW w:type="pct" w:w="50%"/>
          </w:tcPr>
          <w:p>
            <w:r>
              <w:rPr>
                <w:b w:val="false"/>
                <w:bCs w:val="false"/>
              </w:rPr>
              <w:t xml:space="preserve">Aula anterior</w:t>
            </w:r>
          </w:p>
        </w:tc>
        <w:tc>
          <w:tcPr>
            <w:tcW w:type="pct" w:w="50%"/>
          </w:tcPr>
          <w:p>
            <w:r>
              <w:rPr>
                <w:b w:val="false"/>
                <w:bCs w:val="false"/>
              </w:rPr>
              <w:t xml:space="preserve">—  (aula de abertura do módulo)</w:t>
            </w:r>
          </w:p>
        </w:tc>
      </w:tr>
      <w:tr>
        <w:tc>
          <w:tcPr>
            <w:tcW w:type="pct" w:w="50%"/>
          </w:tcPr>
          <w:p>
            <w:r>
              <w:rPr>
                <w:b w:val="false"/>
                <w:bCs w:val="false"/>
              </w:rPr>
              <w:t xml:space="preserve">Próxima aula</w:t>
            </w:r>
          </w:p>
        </w:tc>
        <w:tc>
          <w:tcPr>
            <w:tcW w:type="pct" w:w="50%"/>
          </w:tcPr>
          <w:p>
            <w:r>
              <w:rPr>
                <w:b w:val="false"/>
                <w:bCs w:val="false"/>
              </w:rPr>
              <w:t xml:space="preserve">Aula 128 — Clonagem gênica e organismos transgênicos</w:t>
            </w:r>
          </w:p>
        </w:tc>
      </w:tr>
    </w:tbl>
    <w:p>
      <w:pPr>
        <w:spacing w:after="200"/>
      </w:pPr>
    </w:p>
    <w:p>
      <w:pPr>
        <w:pStyle w:val="Heading1"/>
        <w:spacing w:after="120" w:before="200"/>
      </w:pPr>
      <w:r>
        <w:t xml:space="preserve">2. Objetivos de Aprendizagem</w:t>
      </w:r>
    </w:p>
    <w:p>
      <w:pPr>
        <w:spacing w:after="120"/>
      </w:pPr>
      <w:r>
        <w:rPr>
          <w:b/>
          <w:bCs/>
        </w:rPr>
        <w:t xml:space="preserve">Objetivo geral</w:t>
      </w:r>
    </w:p>
    <w:p>
      <w:pPr>
        <w:spacing w:after="120"/>
      </w:pPr>
      <w:r>
        <w:t xml:space="preserve">Compreender o conceito de DNA recombinante e o papel das enzimas de restrição.</w:t>
      </w:r>
    </w:p>
    <w:p>
      <w:pPr>
        <w:spacing w:after="120"/>
      </w:pPr>
      <w:r>
        <w:rPr>
          <w:b/>
          <w:bCs/>
        </w:rPr>
        <w:t xml:space="preserve">Objetivos específicos</w:t>
      </w:r>
    </w:p>
    <w:p>
      <w:pPr>
        <w:pStyle w:val="ListParagraph"/>
        <w:numPr>
          <w:ilvl w:val="0"/>
          <w:numId w:val="1"/>
        </w:numPr>
        <w:spacing w:after="80"/>
      </w:pPr>
      <w:r>
        <w:t xml:space="preserve">Definir DNA recombinante</w:t>
      </w:r>
    </w:p>
    <w:p>
      <w:pPr>
        <w:pStyle w:val="ListParagraph"/>
        <w:numPr>
          <w:ilvl w:val="0"/>
          <w:numId w:val="1"/>
        </w:numPr>
        <w:spacing w:after="80"/>
      </w:pPr>
      <w:r>
        <w:t xml:space="preserve">Descrever a função das enzimas de restrição</w:t>
      </w:r>
    </w:p>
    <w:p>
      <w:pPr>
        <w:pStyle w:val="ListParagraph"/>
        <w:numPr>
          <w:ilvl w:val="0"/>
          <w:numId w:val="1"/>
        </w:numPr>
        <w:spacing w:after="80"/>
      </w:pPr>
      <w:r>
        <w:t xml:space="preserve">Explicar como um gene pode ser inserido em um plasmídeo bacteriano</w:t>
      </w:r>
    </w:p>
    <w:p>
      <w:pPr>
        <w:pStyle w:val="Heading1"/>
        <w:spacing w:after="120" w:before="200"/>
      </w:pPr>
      <w:r>
        <w:t xml:space="preserve">3. Conhecimentos Prévios (subsunçores necessários)</w:t>
      </w:r>
    </w:p>
    <w:p>
      <w:pPr>
        <w:pStyle w:val="ListParagraph"/>
        <w:numPr>
          <w:ilvl w:val="0"/>
          <w:numId w:val="1"/>
        </w:numPr>
        <w:spacing w:after="80"/>
      </w:pPr>
      <w:r>
        <w:t xml:space="preserve">Estrutura do DNA (Módulo 14)</w:t>
      </w:r>
    </w:p>
    <w:p>
      <w:pPr>
        <w:pStyle w:val="ListParagraph"/>
        <w:numPr>
          <w:ilvl w:val="0"/>
          <w:numId w:val="1"/>
        </w:numPr>
        <w:spacing w:after="80"/>
      </w:pPr>
      <w:r>
        <w:t xml:space="preserve">Bactérias como células procariontes (Módulo 2)</w:t>
      </w:r>
    </w:p>
    <w:p>
      <w:pPr>
        <w:pStyle w:val="Heading1"/>
        <w:spacing w:after="120" w:before="200"/>
      </w:pPr>
      <w:r>
        <w:t xml:space="preserve">4. Recursos Didáticos</w:t>
      </w:r>
    </w:p>
    <w:p>
      <w:pPr>
        <w:pStyle w:val="ListParagraph"/>
        <w:numPr>
          <w:ilvl w:val="0"/>
          <w:numId w:val="1"/>
        </w:numPr>
        <w:spacing w:after="80"/>
      </w:pPr>
      <w:r>
        <w:t xml:space="preserve">Quadro</w:t>
      </w:r>
    </w:p>
    <w:p>
      <w:pPr>
        <w:pStyle w:val="ListParagraph"/>
        <w:numPr>
          <w:ilvl w:val="0"/>
          <w:numId w:val="1"/>
        </w:numPr>
        <w:spacing w:after="80"/>
      </w:pPr>
      <w:r>
        <w:t xml:space="preserve">Slides</w:t>
      </w:r>
    </w:p>
    <w:p>
      <w:pPr>
        <w:pStyle w:val="ListParagraph"/>
        <w:numPr>
          <w:ilvl w:val="0"/>
          <w:numId w:val="1"/>
        </w:numPr>
        <w:spacing w:after="80"/>
      </w:pPr>
      <w:r>
        <w:t xml:space="preserve">Esquema de corte e inserção de DNA com enzimas de restrição</w:t>
      </w:r>
    </w:p>
    <w:p>
      <w:pPr>
        <w:pStyle w:val="Heading1"/>
        <w:spacing w:after="120" w:before="200"/>
      </w:pPr>
      <w:r>
        <w:t xml:space="preserve">5. Desenvolvimento da Aula</w:t>
      </w:r>
    </w:p>
    <w:p>
      <w:pPr>
        <w:spacing w:after="120"/>
      </w:pPr>
      <w:r>
        <w:t xml:space="preserve">A sequência segue a lógica de ancoragem → problematização → formalização → prática guiada → prática independente → síntese, com o obstáculo conceitual mais comum do tema antecipado antes de aparecer como erro nos exercícios.</w:t>
      </w:r>
    </w:p>
    <w:p>
      <w:pPr>
        <w:pStyle w:val="Heading2"/>
        <w:spacing w:after="120" w:before="260"/>
      </w:pPr>
      <w:r>
        <w:t xml:space="preserve">Momento 1 — Acolhida e Sondagem</w:t>
      </w:r>
    </w:p>
    <w:p>
      <w:pPr>
        <w:spacing w:after="120"/>
      </w:pPr>
      <w:r>
        <w:rPr>
          <w:i/>
          <w:iCs/>
        </w:rPr>
        <w:t xml:space="preserve">Duração: 5 minutos  ·  Foco pedagógico: Ausubel (aprendizagem significativa)</w:t>
      </w:r>
    </w:p>
    <w:p>
      <w:pPr>
        <w:spacing w:after="120"/>
      </w:pPr>
      <w:r>
        <w:t xml:space="preserve">Sondar o que os alunos já sabem sobre o tema, retomando a aula anterior e conectando com o conhecimento prévio.</w:t>
      </w:r>
    </w:p>
    <w:p>
      <w:pPr>
        <w:pStyle w:val="Heading2"/>
        <w:spacing w:after="120" w:before="260"/>
      </w:pPr>
      <w:r>
        <w:t xml:space="preserve">Momento 2 — Problematização Inicial</w:t>
      </w:r>
    </w:p>
    <w:p>
      <w:pPr>
        <w:spacing w:after="120"/>
      </w:pPr>
      <w:r>
        <w:rPr>
          <w:i/>
          <w:iCs/>
        </w:rPr>
        <w:t xml:space="preserve">Duração: 5 minutos  ·  Foco pedagógico: Bachelard (obstáculo epistemológico)</w:t>
      </w:r>
    </w:p>
    <w:p>
      <w:pPr>
        <w:spacing w:after="120"/>
      </w:pPr>
      <w:r>
        <w:t xml:space="preserve">Como os cientistas conseguem 'cortar' um gene específico de um organismo e 'colar' em outro, como se o DNA fosse feito de peças de encaixe?</w:t>
      </w:r>
    </w:p>
    <w:p>
      <w:pPr>
        <w:pStyle w:val="Heading2"/>
        <w:spacing w:after="120" w:before="260"/>
      </w:pPr>
      <w:r>
        <w:t xml:space="preserve">Momento 3 — Desenvolvimento Conceitual</w:t>
      </w:r>
    </w:p>
    <w:p>
      <w:pPr>
        <w:spacing w:after="120"/>
      </w:pPr>
      <w:r>
        <w:rPr>
          <w:i/>
          <w:iCs/>
        </w:rPr>
        <w:t xml:space="preserve">Duração: 20 minutos  ·  Foco pedagógico: Exposição dialogada</w:t>
      </w:r>
    </w:p>
    <w:p>
      <w:pPr>
        <w:spacing w:after="120"/>
      </w:pPr>
      <w:r>
        <w:t xml:space="preserve">Retomar a estrutura do DNA (Módulo 14) e apresentar o conceito de DNA recombinante: uma molécula de DNA formada pela combinação de segmentos de organismos diferentes. Apresentar as enzimas de restrição, que reconhecem sequências específicas de DNA e o cortam nesses pontos, gerando extremidades que podem se encaixar (por complementaridade de bases) com outro segmento cortado pela mesma enzima. Apresentar os plasmídeos bacterianos (retomando bactérias, Módulo 2) como vetores comuns para inserir genes de interesse.</w:t>
      </w:r>
    </w:p>
    <w:p>
      <w:pPr>
        <w:pStyle w:val="Heading2"/>
        <w:spacing w:after="120" w:before="260"/>
      </w:pPr>
      <w:r>
        <w:t xml:space="preserve">Momento 4 — Resolução Guiada</w:t>
      </w:r>
    </w:p>
    <w:p>
      <w:pPr>
        <w:spacing w:after="120"/>
      </w:pPr>
      <w:r>
        <w:rPr>
          <w:i/>
          <w:iCs/>
        </w:rPr>
        <w:t xml:space="preserve">Duração: 10 minutos  ·  Foco pedagógico: Vygotsky (zona de desenvolvimento proximal)</w:t>
      </w:r>
    </w:p>
    <w:p>
      <w:pPr>
        <w:spacing w:after="120"/>
      </w:pPr>
      <w:r>
        <w:t xml:space="preserve">Analisar em conjunto como um gene humano pode ser inserido em um plasmídeo bacteriano usando a mesma enzima de restrição nos dois DNAs.</w:t>
      </w:r>
    </w:p>
    <w:p>
      <w:pPr>
        <w:pStyle w:val="Heading2"/>
        <w:spacing w:after="120" w:before="260"/>
      </w:pPr>
      <w:r>
        <w:t xml:space="preserve">Momento 5 — Exercícios de Fixação</w:t>
      </w:r>
    </w:p>
    <w:p>
      <w:pPr>
        <w:spacing w:after="120"/>
      </w:pPr>
      <w:r>
        <w:rPr>
          <w:i/>
          <w:iCs/>
        </w:rPr>
        <w:t xml:space="preserve">Duração: 7 minutos  ·  Foco pedagógico: Prática independente</w:t>
      </w:r>
    </w:p>
    <w:p>
      <w:pPr>
        <w:spacing w:after="120"/>
      </w:pPr>
      <w:r>
        <w:t xml:space="preserve">Exercícios sobre DNA recombinante e enzimas de restrição.</w:t>
      </w:r>
    </w:p>
    <w:p>
      <w:pPr>
        <w:pStyle w:val="Heading2"/>
        <w:spacing w:after="120" w:before="260"/>
      </w:pPr>
      <w:r>
        <w:t xml:space="preserve">Momento 6 — Síntese e Fechamento</w:t>
      </w:r>
    </w:p>
    <w:p>
      <w:pPr>
        <w:spacing w:after="120"/>
      </w:pPr>
      <w:r>
        <w:rPr>
          <w:i/>
          <w:iCs/>
        </w:rPr>
        <w:t xml:space="preserve">Duração: 3 minutos  ·  Foco pedagógico: Consolidação</w:t>
      </w:r>
    </w:p>
    <w:p>
      <w:pPr>
        <w:spacing w:after="120"/>
      </w:pPr>
      <w:r>
        <w:t xml:space="preserve">Retomar os pontos-chave da aula e conectar com a próxima aula do módulo.</w:t>
      </w:r>
    </w:p>
    <w:p>
      <w:pPr>
        <w:pStyle w:val="Heading1"/>
        <w:spacing w:after="120" w:before="200"/>
      </w:pPr>
      <w:r>
        <w:t xml:space="preserve">6. Quadro-Síntese dos Momentos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pct" w:w="33.333333333333336%"/>
            <w:shd w:fill="D9E2F3" w:val="clear"/>
          </w:tcPr>
          <w:p>
            <w:pPr>
              <w:jc w:val="center"/>
            </w:pPr>
            <w:r>
              <w:rPr>
                <w:b/>
                <w:bCs/>
              </w:rPr>
              <w:t xml:space="preserve">Momento</w:t>
            </w:r>
          </w:p>
        </w:tc>
        <w:tc>
          <w:tcPr>
            <w:tcW w:type="pct" w:w="33.333333333333336%"/>
            <w:shd w:fill="D9E2F3" w:val="clear"/>
          </w:tcPr>
          <w:p>
            <w:pPr>
              <w:jc w:val="center"/>
            </w:pPr>
            <w:r>
              <w:rPr>
                <w:b/>
                <w:bCs/>
              </w:rPr>
              <w:t xml:space="preserve">Duração</w:t>
            </w:r>
          </w:p>
        </w:tc>
        <w:tc>
          <w:tcPr>
            <w:tcW w:type="pct" w:w="33.333333333333336%"/>
            <w:shd w:fill="D9E2F3" w:val="clear"/>
          </w:tcPr>
          <w:p>
            <w:pPr>
              <w:jc w:val="center"/>
            </w:pPr>
            <w:r>
              <w:rPr>
                <w:b/>
                <w:bCs/>
              </w:rPr>
              <w:t xml:space="preserve">Foco pedagógico</w:t>
            </w:r>
          </w:p>
        </w:tc>
      </w:tr>
      <w:tr>
        <w:tc>
          <w:tcPr>
            <w:tcW w:type="pct" w:w="33.333333333333336%"/>
          </w:tcPr>
          <w:p>
            <w:r>
              <w:rPr>
                <w:b w:val="false"/>
                <w:bCs w:val="false"/>
              </w:rPr>
              <w:t xml:space="preserve">1. Acolhida e Sondagem</w:t>
            </w:r>
          </w:p>
        </w:tc>
        <w:tc>
          <w:tcPr>
            <w:tcW w:type="pct" w:w="33.333333333333336%"/>
          </w:tcPr>
          <w:p>
            <w:r>
              <w:rPr>
                <w:b w:val="false"/>
                <w:bCs w:val="false"/>
              </w:rPr>
              <w:t xml:space="preserve">5 min</w:t>
            </w:r>
          </w:p>
        </w:tc>
        <w:tc>
          <w:tcPr>
            <w:tcW w:type="pct" w:w="33.333333333333336%"/>
          </w:tcPr>
          <w:p>
            <w:r>
              <w:rPr>
                <w:b w:val="false"/>
                <w:bCs w:val="false"/>
              </w:rPr>
              <w:t xml:space="preserve">Ausubel (aprendizagem significativa)</w:t>
            </w:r>
          </w:p>
        </w:tc>
      </w:tr>
      <w:tr>
        <w:tc>
          <w:tcPr>
            <w:tcW w:type="pct" w:w="33.333333333333336%"/>
          </w:tcPr>
          <w:p>
            <w:r>
              <w:rPr>
                <w:b w:val="false"/>
                <w:bCs w:val="false"/>
              </w:rPr>
              <w:t xml:space="preserve">2. Problematização Inicial</w:t>
            </w:r>
          </w:p>
        </w:tc>
        <w:tc>
          <w:tcPr>
            <w:tcW w:type="pct" w:w="33.333333333333336%"/>
          </w:tcPr>
          <w:p>
            <w:r>
              <w:rPr>
                <w:b w:val="false"/>
                <w:bCs w:val="false"/>
              </w:rPr>
              <w:t xml:space="preserve">5 min</w:t>
            </w:r>
          </w:p>
        </w:tc>
        <w:tc>
          <w:tcPr>
            <w:tcW w:type="pct" w:w="33.333333333333336%"/>
          </w:tcPr>
          <w:p>
            <w:r>
              <w:rPr>
                <w:b w:val="false"/>
                <w:bCs w:val="false"/>
              </w:rPr>
              <w:t xml:space="preserve">Bachelard (obstáculo epistemológico)</w:t>
            </w:r>
          </w:p>
        </w:tc>
      </w:tr>
      <w:tr>
        <w:tc>
          <w:tcPr>
            <w:tcW w:type="pct" w:w="33.333333333333336%"/>
          </w:tcPr>
          <w:p>
            <w:r>
              <w:rPr>
                <w:b w:val="false"/>
                <w:bCs w:val="false"/>
              </w:rPr>
              <w:t xml:space="preserve">3. Desenvolvimento Conceitual</w:t>
            </w:r>
          </w:p>
        </w:tc>
        <w:tc>
          <w:tcPr>
            <w:tcW w:type="pct" w:w="33.333333333333336%"/>
          </w:tcPr>
          <w:p>
            <w:r>
              <w:rPr>
                <w:b w:val="false"/>
                <w:bCs w:val="false"/>
              </w:rPr>
              <w:t xml:space="preserve">20 min</w:t>
            </w:r>
          </w:p>
        </w:tc>
        <w:tc>
          <w:tcPr>
            <w:tcW w:type="pct" w:w="33.333333333333336%"/>
          </w:tcPr>
          <w:p>
            <w:r>
              <w:rPr>
                <w:b w:val="false"/>
                <w:bCs w:val="false"/>
              </w:rPr>
              <w:t xml:space="preserve">Exposição dialogada</w:t>
            </w:r>
          </w:p>
        </w:tc>
      </w:tr>
      <w:tr>
        <w:tc>
          <w:tcPr>
            <w:tcW w:type="pct" w:w="33.333333333333336%"/>
          </w:tcPr>
          <w:p>
            <w:r>
              <w:rPr>
                <w:b w:val="false"/>
                <w:bCs w:val="false"/>
              </w:rPr>
              <w:t xml:space="preserve">4. Resolução Guiada</w:t>
            </w:r>
          </w:p>
        </w:tc>
        <w:tc>
          <w:tcPr>
            <w:tcW w:type="pct" w:w="33.333333333333336%"/>
          </w:tcPr>
          <w:p>
            <w:r>
              <w:rPr>
                <w:b w:val="false"/>
                <w:bCs w:val="false"/>
              </w:rPr>
              <w:t xml:space="preserve">10 min</w:t>
            </w:r>
          </w:p>
        </w:tc>
        <w:tc>
          <w:tcPr>
            <w:tcW w:type="pct" w:w="33.333333333333336%"/>
          </w:tcPr>
          <w:p>
            <w:r>
              <w:rPr>
                <w:b w:val="false"/>
                <w:bCs w:val="false"/>
              </w:rPr>
              <w:t xml:space="preserve">Vygotsky (zona de desenvolvimento proximal)</w:t>
            </w:r>
          </w:p>
        </w:tc>
      </w:tr>
      <w:tr>
        <w:tc>
          <w:tcPr>
            <w:tcW w:type="pct" w:w="33.333333333333336%"/>
          </w:tcPr>
          <w:p>
            <w:r>
              <w:rPr>
                <w:b w:val="false"/>
                <w:bCs w:val="false"/>
              </w:rPr>
              <w:t xml:space="preserve">5. Exercícios de Fixação</w:t>
            </w:r>
          </w:p>
        </w:tc>
        <w:tc>
          <w:tcPr>
            <w:tcW w:type="pct" w:w="33.333333333333336%"/>
          </w:tcPr>
          <w:p>
            <w:r>
              <w:rPr>
                <w:b w:val="false"/>
                <w:bCs w:val="false"/>
              </w:rPr>
              <w:t xml:space="preserve">7 min</w:t>
            </w:r>
          </w:p>
        </w:tc>
        <w:tc>
          <w:tcPr>
            <w:tcW w:type="pct" w:w="33.333333333333336%"/>
          </w:tcPr>
          <w:p>
            <w:r>
              <w:rPr>
                <w:b w:val="false"/>
                <w:bCs w:val="false"/>
              </w:rPr>
              <w:t xml:space="preserve">Prática independente</w:t>
            </w:r>
          </w:p>
        </w:tc>
      </w:tr>
      <w:tr>
        <w:tc>
          <w:tcPr>
            <w:tcW w:type="pct" w:w="33.333333333333336%"/>
          </w:tcPr>
          <w:p>
            <w:r>
              <w:rPr>
                <w:b w:val="false"/>
                <w:bCs w:val="false"/>
              </w:rPr>
              <w:t xml:space="preserve">6. Síntese e Fechamento</w:t>
            </w:r>
          </w:p>
        </w:tc>
        <w:tc>
          <w:tcPr>
            <w:tcW w:type="pct" w:w="33.333333333333336%"/>
          </w:tcPr>
          <w:p>
            <w:r>
              <w:rPr>
                <w:b w:val="false"/>
                <w:bCs w:val="false"/>
              </w:rPr>
              <w:t xml:space="preserve">3 min</w:t>
            </w:r>
          </w:p>
        </w:tc>
        <w:tc>
          <w:tcPr>
            <w:tcW w:type="pct" w:w="33.333333333333336%"/>
          </w:tcPr>
          <w:p>
            <w:r>
              <w:rPr>
                <w:b w:val="false"/>
                <w:bCs w:val="false"/>
              </w:rPr>
              <w:t xml:space="preserve">Consolidação</w:t>
            </w:r>
          </w:p>
        </w:tc>
      </w:tr>
      <w:tr>
        <w:tc>
          <w:tcPr>
            <w:tcW w:type="pct" w:w="33.333333333333336%"/>
          </w:tcPr>
          <w:p>
            <w:r>
              <w:rPr>
                <w:b w:val="false"/>
                <w:bCs w:val="false"/>
              </w:rPr>
              <w:t xml:space="preserve">Total</w:t>
            </w:r>
          </w:p>
        </w:tc>
        <w:tc>
          <w:tcPr>
            <w:tcW w:type="pct" w:w="33.333333333333336%"/>
          </w:tcPr>
          <w:p>
            <w:r>
              <w:rPr>
                <w:b w:val="false"/>
                <w:bCs w:val="false"/>
              </w:rPr>
              <w:t xml:space="preserve">50 min</w:t>
            </w:r>
          </w:p>
        </w:tc>
        <w:tc>
          <w:tcPr>
            <w:tcW w:type="pct" w:w="33.333333333333336%"/>
          </w:tcPr>
          <w:p/>
        </w:tc>
      </w:tr>
    </w:tbl>
    <w:p>
      <w:pPr>
        <w:spacing w:after="200"/>
      </w:pPr>
    </w:p>
    <w:p>
      <w:pPr>
        <w:pStyle w:val="Heading1"/>
        <w:spacing w:after="120" w:before="200"/>
      </w:pPr>
      <w:r>
        <w:t xml:space="preserve">7. Avaliação Formativa</w:t>
      </w:r>
    </w:p>
    <w:p>
      <w:pPr>
        <w:spacing w:after="120"/>
      </w:pPr>
      <w:r>
        <w:t xml:space="preserve">Verificação da explicação sobre a inserção do gene no plasmídeo.</w:t>
      </w:r>
    </w:p>
    <w:p>
      <w:pPr>
        <w:pStyle w:val="Heading1"/>
        <w:spacing w:after="120" w:before="200"/>
      </w:pPr>
      <w:r>
        <w:t xml:space="preserve">8. Lista de Exercícios de Fixação</w:t>
      </w:r>
    </w:p>
    <w:p>
      <w:pPr>
        <w:spacing w:after="120"/>
      </w:pPr>
      <w:r>
        <w:t xml:space="preserve">1. O que é DNA recombinante?</w:t>
      </w:r>
    </w:p>
    <w:p>
      <w:pPr>
        <w:spacing w:after="120"/>
      </w:pPr>
      <w:r>
        <w:t xml:space="preserve">2. Qual a função das enzimas de restrição?</w:t>
      </w:r>
    </w:p>
    <w:p>
      <w:pPr>
        <w:pStyle w:val="Heading2"/>
        <w:spacing w:after="120" w:before="260"/>
      </w:pPr>
      <w:r>
        <w:t xml:space="preserve">Gabarito da Lista de Exercícios</w:t>
      </w:r>
    </w:p>
    <w:p>
      <w:pPr>
        <w:spacing w:after="120"/>
      </w:pPr>
      <w:r>
        <w:t xml:space="preserve">1. Uma molécula de DNA formada pela combinação de segmentos de DNA de organismos diferentes.</w:t>
      </w:r>
    </w:p>
    <w:p>
      <w:pPr>
        <w:spacing w:after="120"/>
      </w:pPr>
      <w:r>
        <w:t xml:space="preserve">2. Reconhecer sequências específicas de DNA e cortá-lo nesses pontos, permitindo depois o encaixe com outros fragmentos cortados pela mesma enzima.</w:t>
      </w:r>
    </w:p>
    <w:p>
      <w:pPr>
        <w:pStyle w:val="Heading1"/>
        <w:spacing w:after="120" w:before="200"/>
      </w:pPr>
      <w:r>
        <w:t xml:space="preserve">9. Observações e Extensão</w:t>
      </w:r>
    </w:p>
    <w:p>
      <w:pPr>
        <w:spacing w:after="120"/>
      </w:pPr>
      <w:r>
        <w:t xml:space="preserve">Abre o módulo de Biotecnologia e Engenharia Genética — retomar estrutura do DNA (Módulo 14) e bactérias (Módulo 2).</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2026-09-20T23:02:24.544Z</dcterms:created>
  <dcterms:modified xsi:type="dcterms:W3CDTF">2026-09-20T23:02:24.544Z</dcterms:modified>
</cp:coreProperties>
</file>

<file path=docProps/custom.xml><?xml version="1.0" encoding="utf-8"?>
<Properties xmlns="http://schemas.openxmlformats.org/officeDocument/2006/custom-properties" xmlns:vt="http://schemas.openxmlformats.org/officeDocument/2006/docPropsVTypes"/>
</file>