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Lipídios: estrutura e funções biológicas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8 do currículo) — Lipídios: estrutura e funções biológicas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 — Carboidratos: monossacarídeos, dissacarídeos e polissacarídeos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 — Proteínas: aminoácidos e estrutura primária a quaternária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as funções biológicas dos lipídios.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geral de um triglicerídeo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gorduras saturadas e insaturadas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outras classes de lipídios (fosfolipídios, esteroides) e suas funções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Carboidratos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Ésteres (se já estudado em Química)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de um triglicerídeo e de um fosfolipídio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gorduras armazenam muito mais energia por grama do que carboidratos, e por que algumas são sólidas à temperatura ambiente enquanto outras são líquidas?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triglicerídeos como ésteres formados por glicerol e três ácidos graxos, a principal forma de reserva energética de longo prazo (mais energia por grama que carboidratos, por serem mais reduzidos quimicamente). Diferenciar ácidos graxos saturados (sem duplas ligações, cadeia reta, sólidos à temperatura ambiente — gorduras animais) de insaturados (com duplas ligações, cadeia com dobras, líquidos à temperatura ambiente — óleos vegetais). Apresentar rapidamente fosfolipídios (componente estrutural das membranas celulares, com cabeça polar e cauda apolar) e esteroides (ex: colesterol, hormônios sexuais).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a estrutura de um ácido graxo saturado e um insaturado, relacionando à diferença de estado físico.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lipídios e diferenciação entre gorduras saturadas e insaturadas.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estrutura dos triglicerídeos e da diferença entre gorduras saturadas e insaturadas.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óleos vegetais (insaturados) são líquidos à temperatura ambiente, enquanto gorduras animais (saturadas) são sólidas?</w:t>
      </w:r>
    </w:p>
    <w:p>
      <w:pPr>
        <w:spacing w:after="120"/>
      </w:pPr>
      <w:r>
        <w:t xml:space="preserve">2. Qual classe de lipídio é o principal componente estrutural das membranas celulares?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As duplas ligações dos ácidos graxos insaturados criam dobras na cadeia, dificultando o empacotamento compacto das moléculas, o que reduz as forças intermoleculares e mantém a substância líquida; os ácidos graxos saturados, sem dobras, se empacotam mais compactamente, favorecendo o estado sólido.</w:t>
      </w:r>
    </w:p>
    <w:p>
      <w:pPr>
        <w:spacing w:after="120"/>
      </w:pPr>
      <w:r>
        <w:t xml:space="preserve">2. Fosfolipídios.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proteínas — aminoácidos e estrutura primária a quaternária.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2026-09-20T22:03:13.159Z</dcterms:created>
  <dcterms:modified xsi:type="dcterms:W3CDTF">2026-09-20T22:03:13.159Z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