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Comportamento e gráfico de funções polinomiais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15 (Aula 226 do currículo) — Comportamento e gráfico de 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225 — Funções polinomiais de grau superior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Analisar o comportamento do gráfico de uma função polinomial nas extremidades (x→±∞), reconhecendo que depende do grau (par/ímpar) e do sinal do coeficiente líder, não do número de raízes.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quatro padrões de comportamento nas extremidades: grau par/ímpar combinado com coeficiente líder positivo/negativo.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comportamento nas extremidades a partir do grau e do sinal do coeficiente líder.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duas funções com as mesmas raízes reais podem ter comportamentos de extremidade completamente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formato geral do gráfico combinando raízes e comportamento nas extremidades.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polinomiais de grau superior, Módulo 13, Aula 225.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Raízes de polinômios (multiplicidade), Módulo 10, Aula 182.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os gráficos de f(x)=x</w:t>
      </w:r>
      <w:r>
        <w:rPr>
          <w:vertAlign w:val="superscript"/>
        </w:rPr>
        <w:t xml:space="preserve">3</w:t>
      </w:r>
      <w:r>
        <w:t xml:space="preserve">−x e g(x)=x</w:t>
      </w:r>
      <w:r>
        <w:rPr>
          <w:vertAlign w:val="superscript"/>
        </w:rPr>
        <w:t xml:space="preserve">4</w:t>
      </w:r>
      <w:r>
        <w:t xml:space="preserve">−x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f(x)=x</w:t>
      </w:r>
      <w:r>
        <w:rPr>
          <w:vertAlign w:val="superscript"/>
        </w:rPr>
        <w:t xml:space="preserve">3</w:t>
      </w:r>
      <w:r>
        <w:t xml:space="preserve">−x e g(x)=x</w:t>
      </w:r>
      <w:r>
        <w:rPr>
          <w:vertAlign w:val="superscript"/>
        </w:rPr>
        <w:t xml:space="preserve">4</w:t>
      </w:r>
      <w:r>
        <w:t xml:space="preserve">−x</w:t>
      </w:r>
      <w:r>
        <w:rPr>
          <w:vertAlign w:val="superscript"/>
        </w:rPr>
        <w:t xml:space="preserve">2</w:t>
      </w:r>
      <w:r>
        <w:t xml:space="preserve"> têm exatamente as mesmas raízes reais (−1, 0 e 1) — então seus gráficos têm o mesmo comportamento nas pontas?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as raízes idênticas de f e g e perguntar: como têm as mesmas raízes, os gráficos se comportam igual longe da origem?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comportamento nas extremidades (pontas do gráfico) NÃO depende das raízes — depende do grau (par ou ímpar) e do sinal do coeficiente líder.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grau par com a&gt;0: as duas pontas sobem; grau par com a&lt;0: as duas pontas descem; grau ímpar com a&gt;0: esquerda desce, direita sobe; grau ímpar com a&lt;0: esquerda sobe, direita desce. Resolvendo a pergunta do Momento 2: f(x)=x</w:t>
      </w:r>
      <w:r>
        <w:rPr>
          <w:vertAlign w:val="superscript"/>
        </w:rPr>
        <w:t xml:space="preserve">3</w:t>
      </w:r>
      <w:r>
        <w:t xml:space="preserve">−x (grau 3, ímpar, a&gt;0): f(−2)=−6 (desce à esquerda), f(2)=6 (sobe à direita); g(x)=x</w:t>
      </w:r>
      <w:r>
        <w:rPr>
          <w:vertAlign w:val="superscript"/>
        </w:rPr>
        <w:t xml:space="preserve">4</w:t>
      </w:r>
      <w:r>
        <w:t xml:space="preserve">−x</w:t>
      </w:r>
      <w:r>
        <w:rPr>
          <w:vertAlign w:val="superscript"/>
        </w:rPr>
        <w:t xml:space="preserve">2</w:t>
      </w:r>
      <w:r>
        <w:t xml:space="preserve"> (grau 4, par, a&gt;0): g(−2)=12 e g(2)=12 (as DUAS pontas sobem) — comportamentos bem diferentes, apesar das mesmas raízes.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f(−3) e f(3) para f(x)=x</w:t>
      </w:r>
      <w:r>
        <w:rPr>
          <w:vertAlign w:val="superscript"/>
        </w:rPr>
        <w:t xml:space="preserve">3</w:t>
      </w:r>
      <w:r>
        <w:t xml:space="preserve">−x, confirmando o padrão de grau ímpar. Em duplas: calcular g(−3) e g(3) para g(x)=x</w:t>
      </w:r>
      <w:r>
        <w:rPr>
          <w:vertAlign w:val="superscript"/>
        </w:rPr>
        <w:t xml:space="preserve">4</w:t>
      </w:r>
      <w:r>
        <w:t xml:space="preserve">−x</w:t>
      </w:r>
      <w:r>
        <w:rPr>
          <w:vertAlign w:val="superscript"/>
        </w:rPr>
        <w:t xml:space="preserve">2</w:t>
      </w:r>
      <w:r>
        <w:t xml:space="preserve">, confirmando o padrão de grau par.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mesmo com raízes idênticas, o comportamento nas pontas é diferente — depende do grau e do sinal do coeficiente líder, nunca das raízes.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f(x)=x</w:t>
      </w:r>
      <w:r>
        <w:rPr>
          <w:vertAlign w:val="superscript"/>
        </w:rPr>
        <w:t xml:space="preserve">3</w:t>
      </w:r>
      <w:r>
        <w:t xml:space="preserve">−x (grau 3, ímpar, a=1&gt;0), qual o comportamento nas extremidades?</w:t>
      </w:r>
    </w:p>
    <w:p>
      <w:pPr>
        <w:spacing w:after="120"/>
      </w:pPr>
      <w:r>
        <w:t xml:space="preserve">2. Para g(x)=x</w:t>
      </w:r>
      <w:r>
        <w:rPr>
          <w:vertAlign w:val="superscript"/>
        </w:rPr>
        <w:t xml:space="preserve">4</w:t>
      </w:r>
      <w:r>
        <w:t xml:space="preserve">−x</w:t>
      </w:r>
      <w:r>
        <w:rPr>
          <w:vertAlign w:val="superscript"/>
        </w:rPr>
        <w:t xml:space="preserve">2</w:t>
      </w:r>
      <w:r>
        <w:t xml:space="preserve"> (grau 4, par, a=1&gt;0), qual o comportamento nas extremidades?</w:t>
      </w:r>
    </w:p>
    <w:p>
      <w:pPr>
        <w:spacing w:after="120"/>
      </w:pPr>
      <w:r>
        <w:t xml:space="preserve">3. f(x)=x</w:t>
      </w:r>
      <w:r>
        <w:rPr>
          <w:vertAlign w:val="superscript"/>
        </w:rPr>
        <w:t xml:space="preserve">3</w:t>
      </w:r>
      <w:r>
        <w:t xml:space="preserve">−x e g(x)=x</w:t>
      </w:r>
      <w:r>
        <w:rPr>
          <w:vertAlign w:val="superscript"/>
        </w:rPr>
        <w:t xml:space="preserve">4</w:t>
      </w:r>
      <w:r>
        <w:t xml:space="preserve">−x</w:t>
      </w:r>
      <w:r>
        <w:rPr>
          <w:vertAlign w:val="superscript"/>
        </w:rPr>
        <w:t xml:space="preserve">2</w:t>
      </w:r>
      <w:r>
        <w:t xml:space="preserve"> têm as mesmas raízes reais. Isso garante o mesmo comportamento nas pontas?</w:t>
      </w:r>
    </w:p>
    <w:p>
      <w:pPr>
        <w:spacing w:after="120"/>
      </w:pPr>
      <w:r>
        <w:t xml:space="preserve">4. Qual o comportamento nas extremidades de h(x)=−x</w:t>
      </w:r>
      <w:r>
        <w:rPr>
          <w:vertAlign w:val="superscript"/>
        </w:rPr>
        <w:t xml:space="preserve">5</w:t>
      </w:r>
      <w:r>
        <w:t xml:space="preserve">+x?</w:t>
      </w:r>
    </w:p>
    <w:p>
      <w:pPr>
        <w:spacing w:after="120"/>
      </w:pPr>
      <w:r>
        <w:t xml:space="preserve">5. Qual o comportamento nas extremidades de k(x)=−2x</w:t>
      </w:r>
      <w:r>
        <w:rPr>
          <w:vertAlign w:val="superscript"/>
        </w:rPr>
        <w:t xml:space="preserve">4</w:t>
      </w:r>
      <w:r>
        <w:t xml:space="preserve">+3x</w:t>
      </w:r>
      <w:r>
        <w:rPr>
          <w:vertAlign w:val="superscript"/>
        </w:rPr>
        <w:t xml:space="preserve">2</w:t>
      </w:r>
      <w:r>
        <w:t xml:space="preserve">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Esquerda desce, direita sobe (grau ímpar, a&gt;0).</w:t>
      </w:r>
    </w:p>
    <w:p>
      <w:pPr>
        <w:spacing w:after="120"/>
      </w:pPr>
      <w:r>
        <w:t xml:space="preserve">2. As duas pontas sobem (grau par, a&gt;0).</w:t>
      </w:r>
    </w:p>
    <w:p>
      <w:pPr>
        <w:spacing w:after="120"/>
      </w:pPr>
      <w:r>
        <w:t xml:space="preserve">3. Não — o comportamento nas pontas depende do grau e do coeficiente líder, não das raízes.</w:t>
      </w:r>
    </w:p>
    <w:p>
      <w:pPr>
        <w:spacing w:after="120"/>
      </w:pPr>
      <w:r>
        <w:t xml:space="preserve">4. Grau 5 (ímpar), a=−1&lt;0: esquerda sobe, direita desce.</w:t>
      </w:r>
    </w:p>
    <w:p>
      <w:pPr>
        <w:spacing w:after="120"/>
      </w:pPr>
      <w:r>
        <w:t xml:space="preserve">5. Grau 4 (par), a=−2&lt;0: as duas pontas descem.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2026-09-17T18:48:26.049Z</dcterms:created>
  <dcterms:modified xsi:type="dcterms:W3CDTF">2026-09-17T18:48:26.049Z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