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color w:val="E8623C"/>
          <w:sz w:val="32"/>
          <w:szCs w:val="32"/>
        </w:rPr>
        <w:t xml:space="preserve">POSSOR</w:t>
      </w:r>
    </w:p>
    <w:p>
      <w:pPr>
        <w:spacing w:after="80"/>
        <w:jc w:val="center"/>
      </w:pPr>
      <w:r>
        <w:rPr>
          <w:b/>
          <w:bCs/>
          <w:sz w:val="26"/>
          <w:szCs w:val="26"/>
        </w:rPr>
        <w:t xml:space="preserve">Plano de Aula</w:t>
      </w:r>
    </w:p>
    <w:p>
      <w:pPr>
        <w:jc w:val="center"/>
      </w:pPr>
      <w:r>
        <w:rPr>
          <w:sz w:val="22"/>
          <w:szCs w:val="22"/>
        </w:rPr>
        <w:t xml:space="preserve">Módulo 3 — Classes de Palavras — Aula 49</w:t>
      </w:r>
    </w:p>
    <w:p>
      <w:pPr>
        <w:spacing w:after="300"/>
        <w:jc w:val="center"/>
      </w:pPr>
      <w:r>
        <w:rPr>
          <w:i/>
          <w:iCs/>
          <w:color w:val="555555"/>
          <w:sz w:val="20"/>
          <w:szCs w:val="20"/>
        </w:rPr>
        <w:t xml:space="preserve">Preposição: essenciais, acidentais e valores semânticos</w:t>
      </w:r>
    </w:p>
    <w:p>
      <w:pPr>
        <w:pStyle w:val="Heading1"/>
        <w:spacing w:after="120" w:before="200"/>
      </w:pPr>
      <w:r>
        <w:t xml:space="preserve">1. Identificação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shd w:fill="D9E2F3" w:val="clear"/>
          </w:tcPr>
          <w:p>
            <w:pPr>
              <w:jc w:val="center"/>
            </w:pPr>
            <w:r>
              <w:rPr>
                <w:b/>
                <w:bCs/>
              </w:rPr>
              <w:t xml:space="preserve">Campo</w:t>
            </w:r>
          </w:p>
        </w:tc>
        <w:tc>
          <w:tcPr>
            <w:tcW w:type="pct" w:w="50%"/>
            <w:shd w:fill="D9E2F3" w:val="clear"/>
          </w:tcPr>
          <w:p>
            <w:pPr>
              <w:jc w:val="center"/>
            </w:pPr>
            <w:r>
              <w:rPr>
                <w:b/>
                <w:bCs/>
              </w:rPr>
              <w:t xml:space="preserve">Informação</w:t>
            </w:r>
          </w:p>
        </w:tc>
      </w:tr>
      <w:tr>
        <w:tc>
          <w:tcPr>
            <w:tcW w:type="pct" w:w="50%"/>
          </w:tcPr>
          <w:p>
            <w:r>
              <w:rPr>
                <w:b w:val="false"/>
                <w:bCs w:val="false"/>
              </w:rPr>
              <w:t xml:space="preserve">Disciplina</w:t>
            </w:r>
          </w:p>
        </w:tc>
        <w:tc>
          <w:tcPr>
            <w:tcW w:type="pct" w:w="50%"/>
          </w:tcPr>
          <w:p>
            <w:r>
              <w:rPr>
                <w:b w:val="false"/>
                <w:bCs w:val="false"/>
              </w:rPr>
              <w:t xml:space="preserve">Português e Redação</w:t>
            </w:r>
          </w:p>
        </w:tc>
      </w:tr>
      <w:tr>
        <w:tc>
          <w:tcPr>
            <w:tcW w:type="pct" w:w="50%"/>
          </w:tcPr>
          <w:p>
            <w:r>
              <w:rPr>
                <w:b w:val="false"/>
                <w:bCs w:val="false"/>
              </w:rPr>
              <w:t xml:space="preserve">Módulo</w:t>
            </w:r>
          </w:p>
        </w:tc>
        <w:tc>
          <w:tcPr>
            <w:tcW w:type="pct" w:w="50%"/>
          </w:tcPr>
          <w:p>
            <w:r>
              <w:rPr>
                <w:b w:val="false"/>
                <w:bCs w:val="false"/>
              </w:rPr>
              <w:t xml:space="preserve">Classes de Palavras</w:t>
            </w:r>
          </w:p>
        </w:tc>
      </w:tr>
      <w:tr>
        <w:tc>
          <w:tcPr>
            <w:tcW w:type="pct" w:w="50%"/>
          </w:tcPr>
          <w:p>
            <w:r>
              <w:rPr>
                <w:b w:val="false"/>
                <w:bCs w:val="false"/>
              </w:rPr>
              <w:t xml:space="preserve">Aula</w:t>
            </w:r>
          </w:p>
        </w:tc>
        <w:tc>
          <w:tcPr>
            <w:tcW w:type="pct" w:w="50%"/>
          </w:tcPr>
          <w:p>
            <w:r>
              <w:rPr>
                <w:b w:val="false"/>
                <w:bCs w:val="false"/>
              </w:rPr>
              <w:t xml:space="preserve">21 de 23 (Aula 49 do currículo) — Preposição: essenciais, acidentais e valores semânticos</w:t>
            </w:r>
          </w:p>
        </w:tc>
      </w:tr>
      <w:tr>
        <w:tc>
          <w:tcPr>
            <w:tcW w:type="pct" w:w="50%"/>
          </w:tcPr>
          <w:p>
            <w:r>
              <w:rPr>
                <w:b w:val="false"/>
                <w:bCs w:val="false"/>
              </w:rPr>
              <w:t xml:space="preserve">Série/Ano sugerido</w:t>
            </w:r>
          </w:p>
        </w:tc>
        <w:tc>
          <w:tcPr>
            <w:tcW w:type="pct" w:w="50%"/>
          </w:tcPr>
          <w:p>
            <w:r>
              <w:rPr>
                <w:b w:val="false"/>
                <w:bCs w:val="false"/>
              </w:rPr>
              <w:t xml:space="preserve">Ensino Médio (ajustável conforme necessidade de nivelamento)</w:t>
            </w:r>
          </w:p>
        </w:tc>
      </w:tr>
      <w:tr>
        <w:tc>
          <w:tcPr>
            <w:tcW w:type="pct" w:w="50%"/>
          </w:tcPr>
          <w:p>
            <w:r>
              <w:rPr>
                <w:b w:val="false"/>
                <w:bCs w:val="false"/>
              </w:rPr>
              <w:t xml:space="preserve">Duração prevista</w:t>
            </w:r>
          </w:p>
        </w:tc>
        <w:tc>
          <w:tcPr>
            <w:tcW w:type="pct" w:w="50%"/>
          </w:tcPr>
          <w:p>
            <w:r>
              <w:rPr>
                <w:b w:val="false"/>
                <w:bCs w:val="false"/>
              </w:rPr>
              <w:t xml:space="preserve">50 minutos (1 aula)</w:t>
            </w:r>
          </w:p>
        </w:tc>
      </w:tr>
      <w:tr>
        <w:tc>
          <w:tcPr>
            <w:tcW w:type="pct" w:w="50%"/>
          </w:tcPr>
          <w:p>
            <w:r>
              <w:rPr>
                <w:b w:val="false"/>
                <w:bCs w:val="false"/>
              </w:rPr>
              <w:t xml:space="preserve">Aula anterior</w:t>
            </w:r>
          </w:p>
        </w:tc>
        <w:tc>
          <w:tcPr>
            <w:tcW w:type="pct" w:w="50%"/>
          </w:tcPr>
          <w:p>
            <w:r>
              <w:rPr>
                <w:b w:val="false"/>
                <w:bCs w:val="false"/>
              </w:rPr>
              <w:t xml:space="preserve">Aula 48 — Advérbio: classificação, locução adverbial e diferença com adjetivo</w:t>
            </w:r>
          </w:p>
        </w:tc>
      </w:tr>
      <w:tr>
        <w:tc>
          <w:tcPr>
            <w:tcW w:type="pct" w:w="50%"/>
          </w:tcPr>
          <w:p>
            <w:r>
              <w:rPr>
                <w:b w:val="false"/>
                <w:bCs w:val="false"/>
              </w:rPr>
              <w:t xml:space="preserve">Próxima aula</w:t>
            </w:r>
          </w:p>
        </w:tc>
        <w:tc>
          <w:tcPr>
            <w:tcW w:type="pct" w:w="50%"/>
          </w:tcPr>
          <w:p>
            <w:r>
              <w:rPr>
                <w:b w:val="false"/>
                <w:bCs w:val="false"/>
              </w:rPr>
              <w:t xml:space="preserve">Aula 50 — Conjunção: coordenativas, subordinativas e correlativas</w:t>
            </w:r>
          </w:p>
        </w:tc>
      </w:tr>
    </w:tbl>
    <w:p>
      <w:pPr>
        <w:spacing w:after="200"/>
      </w:pPr>
    </w:p>
    <w:p>
      <w:pPr>
        <w:pStyle w:val="Heading1"/>
        <w:spacing w:after="120" w:before="200"/>
      </w:pPr>
      <w:r>
        <w:t xml:space="preserve">2. Objetivos de Aprendizagem</w:t>
      </w:r>
    </w:p>
    <w:p>
      <w:pPr>
        <w:spacing w:after="120"/>
      </w:pPr>
      <w:r>
        <w:rPr>
          <w:b/>
          <w:bCs/>
        </w:rPr>
        <w:t xml:space="preserve">Objetivo geral</w:t>
      </w:r>
    </w:p>
    <w:p>
      <w:pPr>
        <w:spacing w:after="120"/>
      </w:pPr>
      <w:r>
        <w:t xml:space="preserve">Reconhecer preposições essenciais e acidentais, e identificar os principais valores semânticos que elas atribuem à relação entre os termos da frase.</w:t>
      </w:r>
    </w:p>
    <w:p>
      <w:pPr>
        <w:spacing w:after="120"/>
      </w:pPr>
      <w:r>
        <w:rPr>
          <w:b/>
          <w:bCs/>
        </w:rPr>
        <w:t xml:space="preserve">Objetivos específicos</w:t>
      </w:r>
    </w:p>
    <w:p>
      <w:pPr>
        <w:pStyle w:val="ListParagraph"/>
        <w:numPr>
          <w:ilvl w:val="0"/>
          <w:numId w:val="1"/>
        </w:numPr>
        <w:spacing w:after="80"/>
      </w:pPr>
      <w:r>
        <w:t xml:space="preserve">Diferenciar preposição essencial (só funciona como preposição) de acidental (outra classe usada como preposição).</w:t>
      </w:r>
    </w:p>
    <w:p>
      <w:pPr>
        <w:pStyle w:val="ListParagraph"/>
        <w:numPr>
          <w:ilvl w:val="0"/>
          <w:numId w:val="1"/>
        </w:numPr>
        <w:spacing w:after="80"/>
      </w:pPr>
      <w:r>
        <w:t xml:space="preserve">Reconhecer os principais valores semânticos expressos por preposições (lugar, tempo, causa, modo, posse, entre outros).</w:t>
      </w:r>
    </w:p>
    <w:p>
      <w:pPr>
        <w:pStyle w:val="ListParagraph"/>
        <w:numPr>
          <w:ilvl w:val="0"/>
          <w:numId w:val="1"/>
        </w:numPr>
        <w:spacing w:after="80"/>
      </w:pPr>
      <w:r>
        <w:t xml:space="preserve">Identificar contrações e combinações de preposição com artigo ou pronome.</w:t>
      </w:r>
    </w:p>
    <w:p>
      <w:pPr>
        <w:pStyle w:val="Heading1"/>
        <w:spacing w:after="120" w:before="200"/>
      </w:pPr>
      <w:r>
        <w:t xml:space="preserve">3. Conhecimentos Prévios (subsunçores necessários)</w:t>
      </w:r>
    </w:p>
    <w:p>
      <w:pPr>
        <w:pStyle w:val="ListParagraph"/>
        <w:numPr>
          <w:ilvl w:val="0"/>
          <w:numId w:val="1"/>
        </w:numPr>
        <w:spacing w:after="80"/>
      </w:pPr>
      <w:r>
        <w:t xml:space="preserve">Artigo: contração com preposição (Aula 2).</w:t>
      </w:r>
    </w:p>
    <w:p>
      <w:pPr>
        <w:pStyle w:val="Heading1"/>
        <w:spacing w:after="120" w:before="200"/>
      </w:pPr>
      <w:r>
        <w:t xml:space="preserve">4. Recursos Didáticos</w:t>
      </w:r>
    </w:p>
    <w:p>
      <w:pPr>
        <w:pStyle w:val="ListParagraph"/>
        <w:numPr>
          <w:ilvl w:val="0"/>
          <w:numId w:val="1"/>
        </w:numPr>
        <w:spacing w:after="80"/>
      </w:pPr>
      <w:r>
        <w:t xml:space="preserve">Apresentação de slides — Possor_PortAula49_Apresentacao.pptx.</w:t>
      </w:r>
    </w:p>
    <w:p>
      <w:pPr>
        <w:pStyle w:val="ListParagraph"/>
        <w:numPr>
          <w:ilvl w:val="0"/>
          <w:numId w:val="1"/>
        </w:numPr>
        <w:spacing w:after="80"/>
      </w:pPr>
      <w:r>
        <w:t xml:space="preserve">Lista de frases com preposições variadas, para identificação do valor semântico.</w:t>
      </w:r>
    </w:p>
    <w:p>
      <w:pPr>
        <w:pStyle w:val="Heading1"/>
        <w:spacing w:after="120" w:before="200"/>
      </w:pPr>
      <w:r>
        <w:t xml:space="preserve">5. Desenvolvimento da Aula</w:t>
      </w:r>
    </w:p>
    <w:p>
      <w:pPr>
        <w:spacing w:after="120"/>
      </w:pPr>
      <w:r>
        <w:t xml:space="preserve">A sequência segue a lógica de ancoragem → problematização → formalização → prática guiada → prática independente → síntese, com o obstáculo conceitual mais comum do tema antecipado antes de aparecer como erro nos exercícios.</w:t>
      </w:r>
    </w:p>
    <w:p>
      <w:pPr>
        <w:pStyle w:val="Heading2"/>
        <w:spacing w:after="120" w:before="260"/>
      </w:pPr>
      <w:r>
        <w:t xml:space="preserve">Momento 1 — Acolhida e Sondagem</w:t>
      </w:r>
    </w:p>
    <w:p>
      <w:pPr>
        <w:spacing w:after="120"/>
      </w:pPr>
      <w:r>
        <w:rPr>
          <w:i/>
          <w:iCs/>
        </w:rPr>
        <w:t xml:space="preserve">Duração: 5 minutos  ·  Foco pedagógico: Ausubel — ativação de subsunçores</w:t>
      </w:r>
    </w:p>
    <w:p>
      <w:pPr>
        <w:spacing w:after="120"/>
      </w:pPr>
      <w:r>
        <w:t xml:space="preserve">Escrever "Livro de João", "Viagem de trem" e "Chorou de alegria". Perguntar: a preposição "de" significa a mesma coisa nas três frases?</w:t>
      </w:r>
    </w:p>
    <w:p>
      <w:pPr>
        <w:pStyle w:val="Heading2"/>
        <w:spacing w:after="120" w:before="260"/>
      </w:pPr>
      <w:r>
        <w:t xml:space="preserve">Momento 2 — Problematização Inicial</w:t>
      </w:r>
    </w:p>
    <w:p>
      <w:pPr>
        <w:spacing w:after="120"/>
      </w:pPr>
      <w:r>
        <w:rPr>
          <w:i/>
          <w:iCs/>
        </w:rPr>
        <w:t xml:space="preserve">Duração: 5 minutos  ·  Foco pedagógico: Bachelard — obstáculo epistemológico antecipado</w:t>
      </w:r>
    </w:p>
    <w:p>
      <w:pPr>
        <w:spacing w:after="120"/>
      </w:pPr>
      <w:r>
        <w:t xml:space="preserve">Perguntar: "de" indica posse, meio de transporte ou causa — como uma palavrinha tão pequena consegue expressar sentidos tão diferentes? Obstáculo a nomear: achar que cada preposição tem um único significado fixo, independente do contexto em que aparece.</w:t>
      </w:r>
    </w:p>
    <w:p>
      <w:pPr>
        <w:pStyle w:val="Heading2"/>
        <w:spacing w:after="120" w:before="260"/>
      </w:pPr>
      <w:r>
        <w:t xml:space="preserve">Momento 3 — Desenvolvimento Conceitual</w:t>
      </w:r>
    </w:p>
    <w:p>
      <w:pPr>
        <w:spacing w:after="120"/>
      </w:pPr>
      <w:r>
        <w:rPr>
          <w:i/>
          <w:iCs/>
        </w:rPr>
        <w:t xml:space="preserve">Duração: 20 minutos  ·  Foco pedagógico: Exposição dialogada</w:t>
      </w:r>
    </w:p>
    <w:p>
      <w:pPr>
        <w:spacing w:after="120"/>
      </w:pPr>
      <w:r>
        <w:t xml:space="preserve">Preposição é a classe que liga dois termos da frase, estabelecendo entre eles uma relação de sentido. Preposição essencial só funciona como preposição, nunca como outra classe (a, de, em, por, para, com, sem, sob, sobre, entre, até, desde, contra, perante). Preposição acidental é uma palavra de outra classe (geralmente advérbio ou particípio) que ocasionalmente funciona como preposição (durante, mediante, segundo, exceto, salvo, conforme). O mesmo termo preposicionado pode expressar valores semânticos muito diferentes conforme o contexto: posse (Livro de João), meio/instrumento (Viagem de trem), causa (Chorou de alegria), lugar (Mora em Salvador), tempo (Chegou às três), modo (Falou com calma), companhia (Saiu com os amigos), assunto (Livro sobre história). A preposição pode se combinar ou contrair com artigos e pronomes (a+o=ao, de+este=deste, em+aquele=naquele). Resolvendo o obstáculo: a preposição não tem um significado fixo isolado — seu VALOR SEMÂNTICO depende inteiramente do contexto e dos termos que ela conecta, por isso a mesma preposição pode expressar posse, causa, meio ou vários outros sentidos.</w:t>
      </w:r>
    </w:p>
    <w:p>
      <w:pPr>
        <w:pStyle w:val="Heading2"/>
        <w:spacing w:after="120" w:before="260"/>
      </w:pPr>
      <w:r>
        <w:t xml:space="preserve">Momento 4 — Resolução Guiada</w:t>
      </w:r>
    </w:p>
    <w:p>
      <w:pPr>
        <w:spacing w:after="120"/>
      </w:pPr>
      <w:r>
        <w:rPr>
          <w:i/>
          <w:iCs/>
        </w:rPr>
        <w:t xml:space="preserve">Duração: 10 minutos  ·  Foco pedagógico: Vygotsky — Zona de Desenvolvimento Proximal</w:t>
      </w:r>
    </w:p>
    <w:p>
      <w:pPr>
        <w:spacing w:after="120"/>
      </w:pPr>
      <w:r>
        <w:t xml:space="preserve">Coletivamente, identificar o valor semântico da preposição em 5 frases. Em duplas: repetir com 8 frases, classificando também a preposição como essencial ou acidental.</w:t>
      </w:r>
    </w:p>
    <w:p>
      <w:pPr>
        <w:pStyle w:val="Heading2"/>
        <w:spacing w:after="120" w:before="260"/>
      </w:pPr>
      <w:r>
        <w:t xml:space="preserve">Momento 5 — Exercícios de Fixação</w:t>
      </w:r>
    </w:p>
    <w:p>
      <w:pPr>
        <w:spacing w:after="120"/>
      </w:pPr>
      <w:r>
        <w:rPr>
          <w:i/>
          <w:iCs/>
        </w:rPr>
        <w:t xml:space="preserve">Duração: 7 minutos  ·  Foco pedagógico: Prática independente</w:t>
      </w:r>
    </w:p>
    <w:p>
      <w:pPr>
        <w:spacing w:after="120"/>
      </w:pPr>
      <w:r>
        <w:t xml:space="preserve">Aplicação individual da lista de exercícios de fixação.</w:t>
      </w:r>
    </w:p>
    <w:p>
      <w:pPr>
        <w:pStyle w:val="Heading2"/>
        <w:spacing w:after="120" w:before="260"/>
      </w:pPr>
      <w:r>
        <w:t xml:space="preserve">Momento 6 — Síntese e Fechamento</w:t>
      </w:r>
    </w:p>
    <w:p>
      <w:pPr>
        <w:spacing w:after="120"/>
      </w:pPr>
      <w:r>
        <w:rPr>
          <w:i/>
          <w:iCs/>
        </w:rPr>
        <w:t xml:space="preserve">Duração: 3 minutos  ·  Foco pedagógico: Consolidação (fechamento circular)</w:t>
      </w:r>
    </w:p>
    <w:p>
      <w:pPr>
        <w:spacing w:after="120"/>
      </w:pPr>
      <w:r>
        <w:t xml:space="preserve">Reforçar que o valor semântico da preposição sempre depende do contexto — não adianta decorar "de = posse", é preciso olhar a frase inteira.</w:t>
      </w:r>
    </w:p>
    <w:p>
      <w:pPr>
        <w:pStyle w:val="Heading1"/>
        <w:spacing w:after="120" w:before="200"/>
      </w:pPr>
      <w:r>
        <w:t xml:space="preserve">6. Quadro-Síntese dos Momentos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33.333333333333336%"/>
            <w:shd w:fill="D9E2F3" w:val="clear"/>
          </w:tcPr>
          <w:p>
            <w:pPr>
              <w:jc w:val="center"/>
            </w:pPr>
            <w:r>
              <w:rPr>
                <w:b/>
                <w:bCs/>
              </w:rPr>
              <w:t xml:space="preserve">Momento</w:t>
            </w:r>
          </w:p>
        </w:tc>
        <w:tc>
          <w:tcPr>
            <w:tcW w:type="pct" w:w="33.333333333333336%"/>
            <w:shd w:fill="D9E2F3" w:val="clear"/>
          </w:tcPr>
          <w:p>
            <w:pPr>
              <w:jc w:val="center"/>
            </w:pPr>
            <w:r>
              <w:rPr>
                <w:b/>
                <w:bCs/>
              </w:rPr>
              <w:t xml:space="preserve">Duração</w:t>
            </w:r>
          </w:p>
        </w:tc>
        <w:tc>
          <w:tcPr>
            <w:tcW w:type="pct" w:w="33.333333333333336%"/>
            <w:shd w:fill="D9E2F3" w:val="clear"/>
          </w:tcPr>
          <w:p>
            <w:pPr>
              <w:jc w:val="center"/>
            </w:pPr>
            <w:r>
              <w:rPr>
                <w:b/>
                <w:bCs/>
              </w:rPr>
              <w:t xml:space="preserve">Foco pedagógico</w:t>
            </w:r>
          </w:p>
        </w:tc>
      </w:tr>
      <w:tr>
        <w:tc>
          <w:tcPr>
            <w:tcW w:type="pct" w:w="33.333333333333336%"/>
          </w:tcPr>
          <w:p>
            <w:r>
              <w:rPr>
                <w:b w:val="false"/>
                <w:bCs w:val="false"/>
              </w:rPr>
              <w:t xml:space="preserve">1. Acolhida e Sondagem</w:t>
            </w:r>
          </w:p>
        </w:tc>
        <w:tc>
          <w:tcPr>
            <w:tcW w:type="pct" w:w="33.333333333333336%"/>
          </w:tcPr>
          <w:p>
            <w:r>
              <w:rPr>
                <w:b w:val="false"/>
                <w:bCs w:val="false"/>
              </w:rPr>
              <w:t xml:space="preserve">5 min</w:t>
            </w:r>
          </w:p>
        </w:tc>
        <w:tc>
          <w:tcPr>
            <w:tcW w:type="pct" w:w="33.333333333333336%"/>
          </w:tcPr>
          <w:p>
            <w:r>
              <w:rPr>
                <w:b w:val="false"/>
                <w:bCs w:val="false"/>
              </w:rPr>
              <w:t xml:space="preserve">Ausubel — ativação de subsunçores</w:t>
            </w:r>
          </w:p>
        </w:tc>
      </w:tr>
      <w:tr>
        <w:tc>
          <w:tcPr>
            <w:tcW w:type="pct" w:w="33.333333333333336%"/>
          </w:tcPr>
          <w:p>
            <w:r>
              <w:rPr>
                <w:b w:val="false"/>
                <w:bCs w:val="false"/>
              </w:rPr>
              <w:t xml:space="preserve">2. Problematização Inicial</w:t>
            </w:r>
          </w:p>
        </w:tc>
        <w:tc>
          <w:tcPr>
            <w:tcW w:type="pct" w:w="33.333333333333336%"/>
          </w:tcPr>
          <w:p>
            <w:r>
              <w:rPr>
                <w:b w:val="false"/>
                <w:bCs w:val="false"/>
              </w:rPr>
              <w:t xml:space="preserve">5 min</w:t>
            </w:r>
          </w:p>
        </w:tc>
        <w:tc>
          <w:tcPr>
            <w:tcW w:type="pct" w:w="33.333333333333336%"/>
          </w:tcPr>
          <w:p>
            <w:r>
              <w:rPr>
                <w:b w:val="false"/>
                <w:bCs w:val="false"/>
              </w:rPr>
              <w:t xml:space="preserve">Bachelard — obstáculo epistemológico antecipado</w:t>
            </w:r>
          </w:p>
        </w:tc>
      </w:tr>
      <w:tr>
        <w:tc>
          <w:tcPr>
            <w:tcW w:type="pct" w:w="33.333333333333336%"/>
          </w:tcPr>
          <w:p>
            <w:r>
              <w:rPr>
                <w:b w:val="false"/>
                <w:bCs w:val="false"/>
              </w:rPr>
              <w:t xml:space="preserve">3. Desenvolvimento Conceitual</w:t>
            </w:r>
          </w:p>
        </w:tc>
        <w:tc>
          <w:tcPr>
            <w:tcW w:type="pct" w:w="33.333333333333336%"/>
          </w:tcPr>
          <w:p>
            <w:r>
              <w:rPr>
                <w:b w:val="false"/>
                <w:bCs w:val="false"/>
              </w:rPr>
              <w:t xml:space="preserve">20 min</w:t>
            </w:r>
          </w:p>
        </w:tc>
        <w:tc>
          <w:tcPr>
            <w:tcW w:type="pct" w:w="33.333333333333336%"/>
          </w:tcPr>
          <w:p>
            <w:r>
              <w:rPr>
                <w:b w:val="false"/>
                <w:bCs w:val="false"/>
              </w:rPr>
              <w:t xml:space="preserve">Exposição dialogada</w:t>
            </w:r>
          </w:p>
        </w:tc>
      </w:tr>
      <w:tr>
        <w:tc>
          <w:tcPr>
            <w:tcW w:type="pct" w:w="33.333333333333336%"/>
          </w:tcPr>
          <w:p>
            <w:r>
              <w:rPr>
                <w:b w:val="false"/>
                <w:bCs w:val="false"/>
              </w:rPr>
              <w:t xml:space="preserve">4. Resolução Guiada</w:t>
            </w:r>
          </w:p>
        </w:tc>
        <w:tc>
          <w:tcPr>
            <w:tcW w:type="pct" w:w="33.333333333333336%"/>
          </w:tcPr>
          <w:p>
            <w:r>
              <w:rPr>
                <w:b w:val="false"/>
                <w:bCs w:val="false"/>
              </w:rPr>
              <w:t xml:space="preserve">10 min</w:t>
            </w:r>
          </w:p>
        </w:tc>
        <w:tc>
          <w:tcPr>
            <w:tcW w:type="pct" w:w="33.333333333333336%"/>
          </w:tcPr>
          <w:p>
            <w:r>
              <w:rPr>
                <w:b w:val="false"/>
                <w:bCs w:val="false"/>
              </w:rPr>
              <w:t xml:space="preserve">Vygotsky — Zona de Desenvolvimento Proximal</w:t>
            </w:r>
          </w:p>
        </w:tc>
      </w:tr>
      <w:tr>
        <w:tc>
          <w:tcPr>
            <w:tcW w:type="pct" w:w="33.333333333333336%"/>
          </w:tcPr>
          <w:p>
            <w:r>
              <w:rPr>
                <w:b w:val="false"/>
                <w:bCs w:val="false"/>
              </w:rPr>
              <w:t xml:space="preserve">5. Exercícios de Fixação</w:t>
            </w:r>
          </w:p>
        </w:tc>
        <w:tc>
          <w:tcPr>
            <w:tcW w:type="pct" w:w="33.333333333333336%"/>
          </w:tcPr>
          <w:p>
            <w:r>
              <w:rPr>
                <w:b w:val="false"/>
                <w:bCs w:val="false"/>
              </w:rPr>
              <w:t xml:space="preserve">7 min</w:t>
            </w:r>
          </w:p>
        </w:tc>
        <w:tc>
          <w:tcPr>
            <w:tcW w:type="pct" w:w="33.333333333333336%"/>
          </w:tcPr>
          <w:p>
            <w:r>
              <w:rPr>
                <w:b w:val="false"/>
                <w:bCs w:val="false"/>
              </w:rPr>
              <w:t xml:space="preserve">Prática independente</w:t>
            </w:r>
          </w:p>
        </w:tc>
      </w:tr>
      <w:tr>
        <w:tc>
          <w:tcPr>
            <w:tcW w:type="pct" w:w="33.333333333333336%"/>
          </w:tcPr>
          <w:p>
            <w:r>
              <w:rPr>
                <w:b w:val="false"/>
                <w:bCs w:val="false"/>
              </w:rPr>
              <w:t xml:space="preserve">6. Síntese e Fechamento</w:t>
            </w:r>
          </w:p>
        </w:tc>
        <w:tc>
          <w:tcPr>
            <w:tcW w:type="pct" w:w="33.333333333333336%"/>
          </w:tcPr>
          <w:p>
            <w:r>
              <w:rPr>
                <w:b w:val="false"/>
                <w:bCs w:val="false"/>
              </w:rPr>
              <w:t xml:space="preserve">3 min</w:t>
            </w:r>
          </w:p>
        </w:tc>
        <w:tc>
          <w:tcPr>
            <w:tcW w:type="pct" w:w="33.333333333333336%"/>
          </w:tcPr>
          <w:p>
            <w:r>
              <w:rPr>
                <w:b w:val="false"/>
                <w:bCs w:val="false"/>
              </w:rPr>
              <w:t xml:space="preserve">Consolidação (fechamento circular)</w:t>
            </w:r>
          </w:p>
        </w:tc>
      </w:tr>
      <w:tr>
        <w:tc>
          <w:tcPr>
            <w:tcW w:type="pct" w:w="33.333333333333336%"/>
          </w:tcPr>
          <w:p>
            <w:r>
              <w:rPr>
                <w:b w:val="false"/>
                <w:bCs w:val="false"/>
              </w:rPr>
              <w:t xml:space="preserve">Total</w:t>
            </w:r>
          </w:p>
        </w:tc>
        <w:tc>
          <w:tcPr>
            <w:tcW w:type="pct" w:w="33.333333333333336%"/>
          </w:tcPr>
          <w:p>
            <w:r>
              <w:rPr>
                <w:b w:val="false"/>
                <w:bCs w:val="false"/>
              </w:rPr>
              <w:t xml:space="preserve">50 min</w:t>
            </w:r>
          </w:p>
        </w:tc>
        <w:tc>
          <w:tcPr>
            <w:tcW w:type="pct" w:w="33.333333333333336%"/>
          </w:tcPr>
          <w:p/>
        </w:tc>
      </w:tr>
    </w:tbl>
    <w:p>
      <w:pPr>
        <w:spacing w:after="200"/>
      </w:pPr>
    </w:p>
    <w:p>
      <w:pPr>
        <w:pStyle w:val="Heading1"/>
        <w:spacing w:after="120" w:before="200"/>
      </w:pPr>
      <w:r>
        <w:t xml:space="preserve">7. Avaliação Formativa</w:t>
      </w:r>
    </w:p>
    <w:p>
      <w:pPr>
        <w:spacing w:after="120"/>
      </w:pPr>
      <w:r>
        <w:t xml:space="preserve">Correção coletiva da identificação do valor semântico. Observação da classificação essencial/acidental em duplas.</w:t>
      </w:r>
    </w:p>
    <w:p>
      <w:pPr>
        <w:pStyle w:val="Heading1"/>
        <w:spacing w:after="120" w:before="200"/>
      </w:pPr>
      <w:r>
        <w:t xml:space="preserve">8. Lista de Exercícios de Fixação</w:t>
      </w:r>
    </w:p>
    <w:p>
      <w:pPr>
        <w:spacing w:after="120"/>
      </w:pPr>
      <w:r>
        <w:t xml:space="preserve">1. Identifique o valor semântico da preposição destacada: "Morreu de fome", "Chegou de trem", "Presente de aniversário".</w:t>
      </w:r>
    </w:p>
    <w:p>
      <w:pPr>
        <w:spacing w:after="120"/>
      </w:pPr>
      <w:r>
        <w:t xml:space="preserve">2. Classifique como essencial ou acidental: "segundo", "para", "durante", "com".</w:t>
      </w:r>
    </w:p>
    <w:p>
      <w:pPr>
        <w:spacing w:after="120"/>
      </w:pPr>
      <w:r>
        <w:t xml:space="preserve">3. Identifique o valor semântico de "com" em "Falou com calma" e em "Saiu com os amigos".</w:t>
      </w:r>
    </w:p>
    <w:p>
      <w:pPr>
        <w:spacing w:after="120"/>
      </w:pPr>
      <w:r>
        <w:t xml:space="preserve">4. Explique por que a preposição "de" pode expressar tanto posse quanto causa, dependendo da frase.</w:t>
      </w:r>
    </w:p>
    <w:p>
      <w:pPr>
        <w:spacing w:after="120"/>
      </w:pPr>
      <w:r>
        <w:t xml:space="preserve">5. Escreva uma frase usando a preposição "sobre" com valor semântico de assunto.</w:t>
      </w:r>
    </w:p>
    <w:p>
      <w:pPr>
        <w:pStyle w:val="Heading2"/>
        <w:spacing w:after="120" w:before="260"/>
      </w:pPr>
      <w:r>
        <w:t xml:space="preserve">Gabarito da Lista de Exercícios</w:t>
      </w:r>
    </w:p>
    <w:p>
      <w:pPr>
        <w:spacing w:after="120"/>
      </w:pPr>
      <w:r>
        <w:t xml:space="preserve">1. "de fome": causa. "de trem": meio/instrumento. "de aniversário": finalidade/relação (o presente é destinado ao aniversário).</w:t>
      </w:r>
    </w:p>
    <w:p>
      <w:pPr>
        <w:spacing w:after="120"/>
      </w:pPr>
      <w:r>
        <w:t xml:space="preserve">2. "segundo": acidental (também é numeral/adjetivo). "para": essencial. "durante": acidental (também pode ser particípio de "durar"). "com": essencial.</w:t>
      </w:r>
    </w:p>
    <w:p>
      <w:pPr>
        <w:spacing w:after="120"/>
      </w:pPr>
      <w:r>
        <w:t xml:space="preserve">3. "com calma": modo. "com os amigos": companhia.</w:t>
      </w:r>
    </w:p>
    <w:p>
      <w:pPr>
        <w:spacing w:after="120"/>
      </w:pPr>
      <w:r>
        <w:t xml:space="preserve">4. Resposta aberta — espera-se que o aluno explique que o valor semântico de uma preposição não é fixo, mas depende da relação estabelecida entre os termos que ela conecta em cada contexto específico — a mesma preposição assume sentidos diferentes conforme a frase.</w:t>
      </w:r>
    </w:p>
    <w:p>
      <w:pPr>
        <w:spacing w:after="120"/>
      </w:pPr>
      <w:r>
        <w:t xml:space="preserve">5. Resposta aberta — exemplo aceitável: "Li um livro sobre a história do Brasil".</w:t>
      </w:r>
    </w:p>
    <w:p>
      <w:pPr>
        <w:pStyle w:val="Heading1"/>
        <w:spacing w:after="120" w:before="200"/>
      </w:pPr>
      <w:r>
        <w:t xml:space="preserve">9. Observações e Extensão</w:t>
      </w:r>
    </w:p>
    <w:p>
      <w:pPr>
        <w:spacing w:after="120"/>
      </w:pPr>
      <w:r>
        <w:t xml:space="preserve">Próxima aula: conjunção — coordenativas, subordinativas e correlativas. </w:t>
      </w:r>
      <w:r>
        <w:rPr>
          <w:b/>
          <w:bCs/>
          <w:color w:val="E8623C"/>
        </w:rPr>
        <w:t xml:space="preserve">Nota para o professor: </w:t>
      </w:r>
      <w:r>
        <w:t xml:space="preserve">os valores semânticos de preposição serão retomados com mais profundidade na Aula de regência (bloco de Sintaxe), mais adiante no curso — aqui o foco é a variedade de sentidos, não a lista exaustiva de regências verbais/nominais.</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2026-09-19T04:36:33.763Z</dcterms:created>
  <dcterms:modified xsi:type="dcterms:W3CDTF">2026-09-19T04:36:33.763Z</dcterms:modified>
</cp:coreProperties>
</file>

<file path=docProps/custom.xml><?xml version="1.0" encoding="utf-8"?>
<Properties xmlns="http://schemas.openxmlformats.org/officeDocument/2006/custom-properties" xmlns:vt="http://schemas.openxmlformats.org/officeDocument/2006/docPropsVTypes"/>
</file>