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7 — Semântica e Figuras de Linguagem — Aula 80</w:t>
      </w:r>
    </w:p>
    <w:p>
      <w:pPr>
        <w:spacing w:after="300"/>
        <w:jc w:val="center"/>
      </w:pPr>
      <w:r>
        <w:rPr>
          <w:i/>
          <w:iCs/>
          <w:color w:val="555555"/>
          <w:sz w:val="20"/>
          <w:szCs w:val="20"/>
        </w:rPr>
        <w:t xml:space="preserve">Figuras de palavras: metáfora, metonímia, catacrese, sinestesia, comparação</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Semântica e Figuras de Linguagem</w:t>
            </w:r>
          </w:p>
        </w:tc>
      </w:tr>
      <w:tr>
        <w:tc>
          <w:tcPr>
            <w:tcW w:type="pct" w:w="50%"/>
          </w:tcPr>
          <w:p>
            <w:r>
              <w:rPr>
                <w:b w:val="false"/>
                <w:bCs w:val="false"/>
              </w:rPr>
              <w:t xml:space="preserve">Aula</w:t>
            </w:r>
          </w:p>
        </w:tc>
        <w:tc>
          <w:tcPr>
            <w:tcW w:type="pct" w:w="50%"/>
          </w:tcPr>
          <w:p>
            <w:r>
              <w:rPr>
                <w:b w:val="false"/>
                <w:bCs w:val="false"/>
              </w:rPr>
              <w:t xml:space="preserve">4 de 7 (Aula 80 do currículo) — Figuras de palavras: metáfora, metonímia, catacrese, sinestesia, comparação</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79 — Pressupostos e subentendidos (CESPE/CEBRASPE)</w:t>
            </w:r>
          </w:p>
        </w:tc>
      </w:tr>
      <w:tr>
        <w:tc>
          <w:tcPr>
            <w:tcW w:type="pct" w:w="50%"/>
          </w:tcPr>
          <w:p>
            <w:r>
              <w:rPr>
                <w:b w:val="false"/>
                <w:bCs w:val="false"/>
              </w:rPr>
              <w:t xml:space="preserve">Próxima aula</w:t>
            </w:r>
          </w:p>
        </w:tc>
        <w:tc>
          <w:tcPr>
            <w:tcW w:type="pct" w:w="50%"/>
          </w:tcPr>
          <w:p>
            <w:r>
              <w:rPr>
                <w:b w:val="false"/>
                <w:bCs w:val="false"/>
              </w:rPr>
              <w:t xml:space="preserve">Aula 81 — Figuras de pensamento: antítese, paradoxo, ironia, hipérbole, gradação, apóstrofe</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Reconhecer e diferenciar as figuras de palavras: metáfora, metonímia, catacrese, sinestesia e comparação.</w:t>
      </w:r>
    </w:p>
    <w:p>
      <w:pPr>
        <w:spacing w:after="120"/>
      </w:pPr>
      <w:r>
        <w:rPr>
          <w:b/>
          <w:bCs/>
        </w:rPr>
        <w:t xml:space="preserve">Objetivos específicos</w:t>
      </w:r>
    </w:p>
    <w:p>
      <w:pPr>
        <w:pStyle w:val="ListParagraph"/>
        <w:numPr>
          <w:ilvl w:val="0"/>
          <w:numId w:val="1"/>
        </w:numPr>
        <w:spacing w:after="80"/>
      </w:pPr>
      <w:r>
        <w:t xml:space="preserve">Reconhecer metáfora como comparação implícita, sem conectivo comparativo.</w:t>
      </w:r>
    </w:p>
    <w:p>
      <w:pPr>
        <w:pStyle w:val="ListParagraph"/>
        <w:numPr>
          <w:ilvl w:val="0"/>
          <w:numId w:val="1"/>
        </w:numPr>
        <w:spacing w:after="80"/>
      </w:pPr>
      <w:r>
        <w:t xml:space="preserve">Reconhecer metonímia como substituição de um termo por outro, com relação de proximidade/contiguidade de sentido.</w:t>
      </w:r>
    </w:p>
    <w:p>
      <w:pPr>
        <w:pStyle w:val="ListParagraph"/>
        <w:numPr>
          <w:ilvl w:val="0"/>
          <w:numId w:val="1"/>
        </w:numPr>
        <w:spacing w:after="80"/>
      </w:pPr>
      <w:r>
        <w:t xml:space="preserve">Reconhecer catacrese como metáfora "desgastada", de uso tão comum que não é mais percebida como figura.</w:t>
      </w:r>
    </w:p>
    <w:p>
      <w:pPr>
        <w:pStyle w:val="ListParagraph"/>
        <w:numPr>
          <w:ilvl w:val="0"/>
          <w:numId w:val="1"/>
        </w:numPr>
        <w:spacing w:after="80"/>
      </w:pPr>
      <w:r>
        <w:t xml:space="preserve">Reconhecer sinestesia como mistura de sensações de sentidos diferentes.</w:t>
      </w:r>
    </w:p>
    <w:p>
      <w:pPr>
        <w:pStyle w:val="ListParagraph"/>
        <w:numPr>
          <w:ilvl w:val="0"/>
          <w:numId w:val="1"/>
        </w:numPr>
        <w:spacing w:after="80"/>
      </w:pPr>
      <w:r>
        <w:t xml:space="preserve">Diferenciar metáfora de comparação (símile) pela presença ou ausência de conectivo comparativo.</w:t>
      </w:r>
    </w:p>
    <w:p>
      <w:pPr>
        <w:pStyle w:val="Heading1"/>
        <w:spacing w:after="120" w:before="200"/>
      </w:pPr>
      <w:r>
        <w:t xml:space="preserve">3. Conhecimentos Prévios (subsunçores necessários)</w:t>
      </w:r>
    </w:p>
    <w:p>
      <w:pPr>
        <w:pStyle w:val="ListParagraph"/>
        <w:numPr>
          <w:ilvl w:val="0"/>
          <w:numId w:val="1"/>
        </w:numPr>
        <w:spacing w:after="80"/>
      </w:pPr>
      <w:r>
        <w:t xml:space="preserve">Denotação, conotação e polissemia (Aula 2).</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Possor_PortAula80_Apresentacao.pptx.</w:t>
      </w:r>
    </w:p>
    <w:p>
      <w:pPr>
        <w:pStyle w:val="ListParagraph"/>
        <w:numPr>
          <w:ilvl w:val="0"/>
          <w:numId w:val="1"/>
        </w:numPr>
        <w:spacing w:after="80"/>
      </w:pPr>
      <w:r>
        <w:t xml:space="preserve">Lista de frases com figuras de palavras variadas, para identificação.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Escrever "Ele é um leão" e "Ele é como um leão" no quadro. Perguntar: as duas frases comparam a pessoa a um leão da mesma forma?</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"a perna da mesa" e perguntar se alguém realmente pensa numa mesa com pernas de verdade ao ouvir essa expressão. Obstáculo a nomear: achar que toda expressão figurada (como metáfora) é percebida conscientemente pelo falante, sem admitir que algumas se tornaram tão comuns que "perderam" o efeito de figura (catacrese).</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Metáfora é uma comparação IMPLÍCITA, sem conectivo comparativo, baseada numa semelhança entre dois elementos (Ele é um leão = ele é corajoso/forte como um leão, mas sem dizer "como"). Comparação (ou símile) é uma comparação EXPLÍCITA, com conectivo comparativo como "como", "tal qual", "feito" (Ele é como um leão). Metonímia é a substituição de um termo por outro com o qual mantém uma relação de proximidade de sentido: autor pela obra (Li Machado de Assis), continente pelo conteúdo (Bebi um copo inteiro), parte pelo todo (Faltam braços nessa lavoura), marca pelo produto (Passei o gilete no rosto). Catacrese é uma metáfora tão usada no dia a dia que deixou de ser percebida como figura, por falta de outra palavra específica para nomear aquele sentido (perna da mesa, dente de alho, folha de papel). Sinestesia mistura sensações de sentidos diferentes numa mesma expressão (voz quente = audição + tato; cheiro doce = olfato + paladar). Resolvendo o obstáculo: a catacrese é uma metáfora que, de tão repetida e consolidada na língua, se tornou o único jeito comum de nomear aquele objeto/parte, perdendo o efeito de novidade ou surpresa que caracteriza uma metáfora ainda "viva".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classificar 5 frases entre as cinco figuras de palavras. Em duplas: repetir com 8 frases, diferenciando especialmente metáfora de comparação e metáfora de catacrese.</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o quadro das cinco figuras de palavras, cada uma com seu mecanismo específico de substituição ou comparação.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classificação. Observação da distinção metáfora/comparação/catacrese em duplas.</w:t>
      </w:r>
    </w:p>
    <w:p>
      <w:pPr>
        <w:pStyle w:val="Heading1"/>
        <w:spacing w:after="120" w:before="200"/>
      </w:pPr>
      <w:r>
        <w:t xml:space="preserve">8. Lista de Exercícios de Fixação</w:t>
      </w:r>
    </w:p>
    <w:p>
      <w:pPr>
        <w:spacing w:after="120"/>
      </w:pPr>
      <w:r>
        <w:t xml:space="preserve">1. Classifique: "Ele é um leão", "Ele é como um leão", "Li todo Machado de Assis".</w:t>
      </w:r>
    </w:p>
    <w:p>
      <w:pPr>
        <w:spacing w:after="120"/>
      </w:pPr>
      <w:r>
        <w:t xml:space="preserve">2. Identifique a figura em "Perna da mesa" e explique por que ela não soa como uma metáfora "viva".</w:t>
      </w:r>
    </w:p>
    <w:p>
      <w:pPr>
        <w:spacing w:after="120"/>
      </w:pPr>
      <w:r>
        <w:t xml:space="preserve">3. Identifique a sinestesia em "Ouvi uma voz quente e macia."</w:t>
      </w:r>
    </w:p>
    <w:p>
      <w:pPr>
        <w:spacing w:after="120"/>
      </w:pPr>
      <w:r>
        <w:t xml:space="preserve">4. Explique a diferença entre metáfora e comparação (símile).</w:t>
      </w:r>
    </w:p>
    <w:p>
      <w:pPr>
        <w:spacing w:after="120"/>
      </w:pPr>
      <w:r>
        <w:t xml:space="preserve">5. Dê um exemplo de metonímia do tipo "marca pelo produto", diferente do visto em aula.</w:t>
      </w:r>
    </w:p>
    <w:p>
      <w:pPr>
        <w:pStyle w:val="Heading2"/>
        <w:spacing w:after="120" w:before="260"/>
      </w:pPr>
      <w:r>
        <w:t xml:space="preserve">Gabarito da Lista de Exercícios</w:t>
      </w:r>
    </w:p>
    <w:p>
      <w:pPr>
        <w:spacing w:after="120"/>
      </w:pPr>
      <w:r>
        <w:t xml:space="preserve">1. "Ele é um leão": metáfora. "Ele é como um leão": comparação (símile). "Li todo Machado de Assis": metonímia (autor pela obra).</w:t>
      </w:r>
    </w:p>
    <w:p>
      <w:pPr>
        <w:spacing w:after="120"/>
      </w:pPr>
      <w:r>
        <w:t xml:space="preserve">2. Catacrese — é uma metáfora tão usada e consolidada que se tornou o único nome comum para essa parte da mesa, perdendo o efeito de novidade típico da metáfora.</w:t>
      </w:r>
    </w:p>
    <w:p>
      <w:pPr>
        <w:spacing w:after="120"/>
      </w:pPr>
      <w:r>
        <w:t xml:space="preserve">3. "voz quente e macia" mistura sensações auditivas (voz) com sensações táteis (quente, macia), caracterizando sinestesia.</w:t>
      </w:r>
    </w:p>
    <w:p>
      <w:pPr>
        <w:spacing w:after="120"/>
      </w:pPr>
      <w:r>
        <w:t xml:space="preserve">4. Metáfora é uma comparação implícita, sem conectivo comparativo (Ele é um leão); comparação/símile é uma comparação explícita, com conectivo como "como" ou "tal qual" (Ele é como um leão).</w:t>
      </w:r>
    </w:p>
    <w:p>
      <w:pPr>
        <w:spacing w:after="120"/>
      </w:pPr>
      <w:r>
        <w:t xml:space="preserve">5. Resposta aberta — exemplo aceitável: "Passei o Danone na criança" (usando a marca no lugar de "iogurte"), ou "Comprei um Gillete" (marca pelo produto, aparelho de barbear).</w:t>
      </w:r>
    </w:p>
    <w:p>
      <w:pPr>
        <w:pStyle w:val="Heading1"/>
        <w:spacing w:after="120" w:before="200"/>
      </w:pPr>
      <w:r>
        <w:t xml:space="preserve">9. Observações e Extensão</w:t>
      </w:r>
    </w:p>
    <w:p>
      <w:pPr>
        <w:spacing w:after="120"/>
      </w:pPr>
      <w:r>
        <w:t xml:space="preserve">Próxima aula: figuras de pensamento — antítese, paradoxo, ironia, hipérbole, gradação, apóstrofe. </w:t>
      </w:r>
      <w:r>
        <w:rPr>
          <w:b/>
          <w:bCs/>
          <w:color w:val="E8623C"/>
        </w:rPr>
        <w:t xml:space="preserve">Nota para o professor: </w:t>
      </w:r>
      <w:r>
        <w:t xml:space="preserve">a catacrese é o conceito mais abstrato desta aula — vale trazer vários exemplos do cotidiano (boca da noite, dente de alho, cabeça de alfinete) para consolidar a ideia de "metáfora desgastada".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2026-09-19T11:00:24.675Z</dcterms:created>
  <dcterms:modified xsi:type="dcterms:W3CDTF">2026-09-19T11:00:24.675Z</dcterms:modified>
</cp:coreProperties>
</file>

<file path=docProps/custom.xml><?xml version="1.0" encoding="utf-8"?>
<Properties xmlns="http://schemas.openxmlformats.org/officeDocument/2006/custom-properties" xmlns:vt="http://schemas.openxmlformats.org/officeDocument/2006/docPropsVTypes"/>
</file>