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color w:val="E8623C"/>
          <w:sz w:val="32"/>
          <w:szCs w:val="32"/>
        </w:rPr>
        <w:t xml:space="preserve">POSSOR</w:t>
      </w:r>
    </w:p>
    <w:p>
      <w:pPr>
        <w:spacing w:after="80"/>
        <w:jc w:val="center"/>
      </w:pPr>
      <w:r>
        <w:rPr>
          <w:b/>
          <w:bCs/>
          <w:sz w:val="26"/>
          <w:szCs w:val="26"/>
        </w:rPr>
        <w:t xml:space="preserve">Plano de Aula</w:t>
      </w:r>
    </w:p>
    <w:p>
      <w:pPr>
        <w:jc w:val="center"/>
      </w:pPr>
      <w:r>
        <w:rPr>
          <w:sz w:val="22"/>
          <w:szCs w:val="22"/>
        </w:rPr>
        <w:t xml:space="preserve">Módulo 0 — Funções Orgânicas Oxigenadas e Nitrogenadas — Aula 10</w:t>
      </w:r>
    </w:p>
    <w:p>
      <w:pPr>
        <w:spacing w:after="300"/>
        <w:jc w:val="center"/>
      </w:pPr>
      <w:r>
        <w:rPr>
          <w:i/>
          <w:iCs/>
          <w:color w:val="555555"/>
          <w:sz w:val="20"/>
          <w:szCs w:val="20"/>
        </w:rPr>
      </w:r>
    </w:p>
    <w:p>
      <w:pPr>
        <w:pStyle w:val="Heading1"/>
        <w:spacing w:after="120" w:before="200"/>
      </w:pPr>
      <w:r>
        <w:t xml:space="preserve">1. Identificação</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50%"/>
            <w:shd w:fill="D9E2F3" w:val="clear"/>
          </w:tcPr>
          <w:p>
            <w:pPr>
              <w:jc w:val="center"/>
            </w:pPr>
            <w:r>
              <w:rPr>
                <w:b/>
                <w:bCs/>
              </w:rPr>
              <w:t xml:space="preserve">Campo</w:t>
            </w:r>
          </w:p>
        </w:tc>
        <w:tc>
          <w:tcPr>
            <w:tcW w:type="pct" w:w="50%"/>
            <w:shd w:fill="D9E2F3" w:val="clear"/>
          </w:tcPr>
          <w:p>
            <w:pPr>
              <w:jc w:val="center"/>
            </w:pPr>
            <w:r>
              <w:rPr>
                <w:b/>
                <w:bCs/>
              </w:rPr>
              <w:t xml:space="preserve">Informação</w:t>
            </w:r>
          </w:p>
        </w:tc>
      </w:tr>
      <w:tr>
        <w:tc>
          <w:tcPr>
            <w:tcW w:type="pct" w:w="50%"/>
          </w:tcPr>
          <w:p>
            <w:r>
              <w:rPr>
                <w:b w:val="false"/>
                <w:bCs w:val="false"/>
              </w:rPr>
              <w:t xml:space="preserve">Disciplina</w:t>
            </w:r>
          </w:p>
        </w:tc>
        <w:tc>
          <w:tcPr>
            <w:tcW w:type="pct" w:w="50%"/>
          </w:tcPr>
          <w:p>
            <w:r>
              <w:rPr>
                <w:b w:val="false"/>
                <w:bCs w:val="false"/>
              </w:rPr>
              <w:t xml:space="preserve">Química e Redação</w:t>
            </w:r>
          </w:p>
        </w:tc>
      </w:tr>
      <w:tr>
        <w:tc>
          <w:tcPr>
            <w:tcW w:type="pct" w:w="50%"/>
          </w:tcPr>
          <w:p>
            <w:r>
              <w:rPr>
                <w:b w:val="false"/>
                <w:bCs w:val="false"/>
              </w:rPr>
              <w:t xml:space="preserve">Módulo</w:t>
            </w:r>
          </w:p>
        </w:tc>
        <w:tc>
          <w:tcPr>
            <w:tcW w:type="pct" w:w="50%"/>
          </w:tcPr>
          <w:p>
            <w:r>
              <w:rPr>
                <w:b w:val="false"/>
                <w:bCs w:val="false"/>
              </w:rPr>
              <w:t xml:space="preserve">Funções Orgânicas Oxigenadas e Nitrogenadas</w:t>
            </w:r>
          </w:p>
        </w:tc>
      </w:tr>
      <w:tr>
        <w:tc>
          <w:tcPr>
            <w:tcW w:type="pct" w:w="50%"/>
          </w:tcPr>
          <w:p>
            <w:r>
              <w:rPr>
                <w:b w:val="false"/>
                <w:bCs w:val="false"/>
              </w:rPr>
              <w:t xml:space="preserve">Aula</w:t>
            </w:r>
          </w:p>
        </w:tc>
        <w:tc>
          <w:tcPr>
            <w:tcW w:type="pct" w:w="50%"/>
          </w:tcPr>
          <w:p>
            <w:r>
              <w:rPr>
                <w:b w:val="false"/>
                <w:bCs w:val="false"/>
              </w:rPr>
              <w:t xml:space="preserve">10 de 14 (Aula 10 do currículo) — undefined</w:t>
            </w:r>
          </w:p>
        </w:tc>
      </w:tr>
      <w:tr>
        <w:tc>
          <w:tcPr>
            <w:tcW w:type="pct" w:w="50%"/>
          </w:tcPr>
          <w:p>
            <w:r>
              <w:rPr>
                <w:b w:val="false"/>
                <w:bCs w:val="false"/>
              </w:rPr>
              <w:t xml:space="preserve">Série/Ano sugerido</w:t>
            </w:r>
          </w:p>
        </w:tc>
        <w:tc>
          <w:tcPr>
            <w:tcW w:type="pct" w:w="50%"/>
          </w:tcPr>
          <w:p>
            <w:r>
              <w:rPr>
                <w:b w:val="false"/>
                <w:bCs w:val="false"/>
              </w:rPr>
              <w:t xml:space="preserve">Ensino Médio (ajustável conforme necessidade de nivelamento)</w:t>
            </w:r>
          </w:p>
        </w:tc>
      </w:tr>
      <w:tr>
        <w:tc>
          <w:tcPr>
            <w:tcW w:type="pct" w:w="50%"/>
          </w:tcPr>
          <w:p>
            <w:r>
              <w:rPr>
                <w:b w:val="false"/>
                <w:bCs w:val="false"/>
              </w:rPr>
              <w:t xml:space="preserve">Duração prevista</w:t>
            </w:r>
          </w:p>
        </w:tc>
        <w:tc>
          <w:tcPr>
            <w:tcW w:type="pct" w:w="50%"/>
          </w:tcPr>
          <w:p>
            <w:r>
              <w:rPr>
                <w:b w:val="false"/>
                <w:bCs w:val="false"/>
              </w:rPr>
              <w:t xml:space="preserve">50 minutos (1 aula)</w:t>
            </w:r>
          </w:p>
        </w:tc>
      </w:tr>
      <w:tr>
        <w:tc>
          <w:tcPr>
            <w:tcW w:type="pct" w:w="50%"/>
          </w:tcPr>
          <w:p>
            <w:r>
              <w:rPr>
                <w:b w:val="false"/>
                <w:bCs w:val="false"/>
              </w:rPr>
              <w:t xml:space="preserve">Aula anterior</w:t>
            </w:r>
          </w:p>
        </w:tc>
        <w:tc>
          <w:tcPr>
            <w:tcW w:type="pct" w:w="50%"/>
          </w:tcPr>
          <w:p>
            <w:r>
              <w:rPr>
                <w:b w:val="false"/>
                <w:bCs w:val="false"/>
              </w:rPr>
              <w:t xml:space="preserve">—  (aula de abertura do módulo)</w:t>
            </w:r>
          </w:p>
        </w:tc>
      </w:tr>
      <w:tr>
        <w:tc>
          <w:tcPr>
            <w:tcW w:type="pct" w:w="50%"/>
          </w:tcPr>
          <w:p>
            <w:r>
              <w:rPr>
                <w:b w:val="false"/>
                <w:bCs w:val="false"/>
              </w:rPr>
              <w:t xml:space="preserve">Próxima aula</w:t>
            </w:r>
          </w:p>
        </w:tc>
        <w:tc>
          <w:tcPr>
            <w:tcW w:type="pct" w:w="50%"/>
          </w:tcPr>
          <w:p>
            <w:r>
              <w:rPr>
                <w:b w:val="false"/>
                <w:bCs w:val="false"/>
              </w:rPr>
              <w:t xml:space="preserve">—  (fim do módulo)</w:t>
            </w:r>
          </w:p>
        </w:tc>
      </w:tr>
    </w:tbl>
    <w:p>
      <w:pPr>
        <w:spacing w:after="200"/>
      </w:pPr>
    </w:p>
    <w:p>
      <w:pPr>
        <w:pStyle w:val="Heading1"/>
        <w:spacing w:after="120" w:before="200"/>
      </w:pPr>
      <w:r>
        <w:t xml:space="preserve">2. Objetivos de Aprendizagem</w:t>
      </w:r>
    </w:p>
    <w:p>
      <w:pPr>
        <w:spacing w:after="120"/>
      </w:pPr>
      <w:r>
        <w:rPr>
          <w:b/>
          <w:bCs/>
        </w:rPr>
        <w:t xml:space="preserve">Objetivo geral</w:t>
      </w:r>
    </w:p>
    <w:p>
      <w:pPr>
        <w:spacing w:after="120"/>
      </w:pPr>
      <w:r>
        <w:t xml:space="preserve">Compreender a Lei da Conservação da Massa (Lavoisier) e a Lei das Proporções Definidas (Proust) como os fundamentos quantitativos das reações químicas.</w:t>
      </w:r>
    </w:p>
    <w:p>
      <w:pPr>
        <w:spacing w:after="120"/>
      </w:pPr>
      <w:r>
        <w:rPr>
          <w:b/>
          <w:bCs/>
        </w:rPr>
        <w:t xml:space="preserve">Objetivos específicos</w:t>
      </w:r>
    </w:p>
    <w:p>
      <w:pPr>
        <w:pStyle w:val="ListParagraph"/>
        <w:numPr>
          <w:ilvl w:val="0"/>
          <w:numId w:val="1"/>
        </w:numPr>
        <w:spacing w:after="80"/>
      </w:pPr>
      <w:r>
        <w:t xml:space="preserve">Enunciar a Lei da Conservação da Massa: a massa total dos reagentes é igual à massa total dos produtos.</w:t>
      </w:r>
    </w:p>
    <w:p>
      <w:pPr>
        <w:pStyle w:val="ListParagraph"/>
        <w:numPr>
          <w:ilvl w:val="0"/>
          <w:numId w:val="1"/>
        </w:numPr>
        <w:spacing w:after="80"/>
      </w:pPr>
      <w:r>
        <w:t xml:space="preserve">Enunciar a Lei das Proporções Definidas: uma substância composta sempre apresenta seus elementos na mesma proporção em massa.</w:t>
      </w:r>
    </w:p>
    <w:p>
      <w:pPr>
        <w:pStyle w:val="ListParagraph"/>
        <w:numPr>
          <w:ilvl w:val="0"/>
          <w:numId w:val="1"/>
        </w:numPr>
        <w:spacing w:after="80"/>
      </w:pPr>
      <w:r>
        <w:t xml:space="preserve">Aplicar as duas leis para resolver problemas simples de conservação de massa em uma reação.</w:t>
      </w:r>
    </w:p>
    <w:p>
      <w:pPr>
        <w:pStyle w:val="Heading1"/>
        <w:spacing w:after="120" w:before="200"/>
      </w:pPr>
      <w:r>
        <w:t xml:space="preserve">3. Conhecimentos Prévios (subsunçores necessários)</w:t>
      </w:r>
    </w:p>
    <w:p>
      <w:pPr>
        <w:pStyle w:val="ListParagraph"/>
        <w:numPr>
          <w:ilvl w:val="0"/>
          <w:numId w:val="1"/>
        </w:numPr>
        <w:spacing w:after="80"/>
      </w:pPr>
      <w:r>
        <w:t xml:space="preserve">Transformação física x transformação química (Módulo 0, Aula 9).</w:t>
      </w:r>
    </w:p>
    <w:p>
      <w:pPr>
        <w:pStyle w:val="Heading1"/>
        <w:spacing w:after="120" w:before="200"/>
      </w:pPr>
      <w:r>
        <w:t xml:space="preserve">4. Recursos Didáticos</w:t>
      </w:r>
    </w:p>
    <w:p>
      <w:pPr>
        <w:pStyle w:val="ListParagraph"/>
        <w:numPr>
          <w:ilvl w:val="0"/>
          <w:numId w:val="1"/>
        </w:numPr>
        <w:spacing w:after="80"/>
      </w:pPr>
      <w:r>
        <w:t xml:space="preserve">Apresentação de slides — Possor_QuiAula10_Apresentacao.pptx.</w:t>
      </w:r>
    </w:p>
    <w:p>
      <w:pPr>
        <w:pStyle w:val="ListParagraph"/>
        <w:numPr>
          <w:ilvl w:val="0"/>
          <w:numId w:val="1"/>
        </w:numPr>
        <w:spacing w:after="80"/>
      </w:pPr>
      <w:r>
        <w:t xml:space="preserve">Exemplo numérico de uma reação em sistema fechado, com massas de reagentes e produtos.</w:t>
      </w:r>
    </w:p>
    <w:p>
      <w:pPr>
        <w:pStyle w:val="Heading1"/>
        <w:spacing w:after="120" w:before="200"/>
      </w:pPr>
      <w:r>
        <w:t xml:space="preserve">5. Desenvolvimento da Aula</w:t>
      </w:r>
    </w:p>
    <w:p>
      <w:pPr>
        <w:spacing w:after="120"/>
      </w:pPr>
      <w:r>
        <w:t xml:space="preserve">A sequência segue a lógica de ancoragem → problematização → formalização → prática guiada → prática independente → síntese, com o obstáculo conceitual mais comum do tema antecipado antes de aparecer como erro nos exercícios.</w:t>
      </w:r>
    </w:p>
    <w:p>
      <w:pPr>
        <w:pStyle w:val="Heading2"/>
        <w:spacing w:after="120" w:before="260"/>
      </w:pPr>
      <w:r>
        <w:t xml:space="preserve">Momento 1 — Acolhida e Sondagem</w:t>
      </w:r>
    </w:p>
    <w:p>
      <w:pPr>
        <w:spacing w:after="120"/>
      </w:pPr>
      <w:r>
        <w:rPr>
          <w:i/>
          <w:iCs/>
        </w:rPr>
        <w:t xml:space="preserve">Duração: 5 minutos  ·  Foco pedagógico: Ausubel — ativação de subsunçores</w:t>
      </w:r>
    </w:p>
    <w:p>
      <w:pPr>
        <w:spacing w:after="120"/>
      </w:pPr>
      <w:r>
        <w:t xml:space="preserve">Perguntar: quando uma vela queima e desaparece quase por completo, a massa da matéria envolvida realmente desapareceu?</w:t>
      </w:r>
    </w:p>
    <w:p>
      <w:pPr>
        <w:pStyle w:val="Heading2"/>
        <w:spacing w:after="120" w:before="260"/>
      </w:pPr>
      <w:r>
        <w:t xml:space="preserve">Momento 2 — Problematização Inicial</w:t>
      </w:r>
    </w:p>
    <w:p>
      <w:pPr>
        <w:spacing w:after="120"/>
      </w:pPr>
      <w:r>
        <w:rPr>
          <w:i/>
          <w:iCs/>
        </w:rPr>
        <w:t xml:space="preserve">Duração: 5 minutos  ·  Foco pedagógico: Bachelard — obstáculo epistemológico antecipado</w:t>
      </w:r>
    </w:p>
    <w:p>
      <w:pPr>
        <w:spacing w:after="120"/>
      </w:pPr>
      <w:r>
        <w:t xml:space="preserve">Mostrar o experimento clássico de Lavoisier (reação em sistema fechado, pesada antes e depois) e perguntar: por que a massa total, medida em um sistema fechado, não muda mesmo após a reação química ocorrer? Obstáculo a nomear: achar que a matéria "desaparece" quando uma substância parece sumir (como a cera de uma vela queimando), sem considerar que ela se transforma em produtos que, em um sistema fechado, continuam presentes.</w:t>
      </w:r>
    </w:p>
    <w:p>
      <w:pPr>
        <w:pStyle w:val="Heading2"/>
        <w:spacing w:after="120" w:before="260"/>
      </w:pPr>
      <w:r>
        <w:t xml:space="preserve">Momento 3 — Desenvolvimento Conceitual</w:t>
      </w:r>
    </w:p>
    <w:p>
      <w:pPr>
        <w:spacing w:after="120"/>
      </w:pPr>
      <w:r>
        <w:rPr>
          <w:i/>
          <w:iCs/>
        </w:rPr>
        <w:t xml:space="preserve">Duração: 20 minutos  ·  Foco pedagógico: Exposição dialogada</w:t>
      </w:r>
    </w:p>
    <w:p>
      <w:pPr>
        <w:spacing w:after="120"/>
      </w:pPr>
      <w:r>
        <w:t xml:space="preserve">A Lei da Conservação da Massa, formulada por Lavoisier, estabelece que, em um sistema fechado, a massa total dos reagentes antes da reação é igual à massa total dos produtos depois da reação — a matéria não é criada nem destruída em uma reação química, apenas se reorganiza formando substâncias novas. A Lei das Proporções Definidas, formulada por Proust, estabelece que uma substância composta sempre apresenta seus elementos constituintes na mesma proporção fixa em massa, independentemente da origem ou do método de obtenção dessa substância — a água, por exemplo, sempre tem a mesma proporção em massa entre hidrogênio e oxigênio, não importa de onde venha. Essas duas leis, juntas, fundamentam toda a lógica quantitativa que será usada mais adiante em estequiometria.</w:t>
      </w:r>
    </w:p>
    <w:p>
      <w:pPr>
        <w:pStyle w:val="Heading2"/>
        <w:spacing w:after="120" w:before="260"/>
      </w:pPr>
      <w:r>
        <w:t xml:space="preserve">Momento 4 — Resolução Guiada</w:t>
      </w:r>
    </w:p>
    <w:p>
      <w:pPr>
        <w:spacing w:after="120"/>
      </w:pPr>
      <w:r>
        <w:rPr>
          <w:i/>
          <w:iCs/>
        </w:rPr>
        <w:t xml:space="preserve">Duração: 10 minutos  ·  Foco pedagógico: Vygotsky — zona de desenvolvimento proximal</w:t>
      </w:r>
    </w:p>
    <w:p>
      <w:pPr>
        <w:spacing w:after="120"/>
      </w:pPr>
      <w:r>
        <w:t xml:space="preserve">Resolver coletivamente um problema simples: dada a massa de dois reagentes que reagem completamente, calcular a massa total dos produtos formados, aplicando a Lei da Conservação da Massa.</w:t>
      </w:r>
    </w:p>
    <w:p>
      <w:pPr>
        <w:pStyle w:val="Heading2"/>
        <w:spacing w:after="120" w:before="260"/>
      </w:pPr>
      <w:r>
        <w:t xml:space="preserve">Momento 5 — Exercícios de Fixação</w:t>
      </w:r>
    </w:p>
    <w:p>
      <w:pPr>
        <w:spacing w:after="120"/>
      </w:pPr>
      <w:r>
        <w:rPr>
          <w:i/>
          <w:iCs/>
        </w:rPr>
        <w:t xml:space="preserve">Duração: 7 minutos  ·  Foco pedagógico: Prática independente</w:t>
      </w:r>
    </w:p>
    <w:p>
      <w:pPr>
        <w:spacing w:after="120"/>
      </w:pPr>
      <w:r>
        <w:t xml:space="preserve">Exercícios de aplicação: dada a massa de reagentes e de parte dos produtos de uma reação, calcular a massa do produto restante usando a conservação da massa.</w:t>
      </w:r>
    </w:p>
    <w:p>
      <w:pPr>
        <w:pStyle w:val="Heading2"/>
        <w:spacing w:after="120" w:before="260"/>
      </w:pPr>
      <w:r>
        <w:t xml:space="preserve">Momento 6 — Síntese e Fechamento</w:t>
      </w:r>
    </w:p>
    <w:p>
      <w:pPr>
        <w:spacing w:after="120"/>
      </w:pPr>
      <w:r>
        <w:rPr>
          <w:i/>
          <w:iCs/>
        </w:rPr>
        <w:t xml:space="preserve">Duração: 3 minutos  ·  Foco pedagógico: Consolidação</w:t>
      </w:r>
    </w:p>
    <w:p>
      <w:pPr>
        <w:spacing w:after="120"/>
      </w:pPr>
      <w:r>
        <w:t xml:space="preserve">Essas duas leis são o fundamento quantitativo de toda a Química: nada se perde, e a proporção entre os elementos de uma substância é sempre a mesma.</w:t>
      </w:r>
    </w:p>
    <w:p>
      <w:pPr>
        <w:pStyle w:val="Heading1"/>
        <w:spacing w:after="120" w:before="200"/>
      </w:pPr>
      <w:r>
        <w:t xml:space="preserve">6. Quadro-Síntese dos Momentos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pct" w:w="33.333333333333336%"/>
            <w:shd w:fill="D9E2F3" w:val="clear"/>
          </w:tcPr>
          <w:p>
            <w:pPr>
              <w:jc w:val="center"/>
            </w:pPr>
            <w:r>
              <w:rPr>
                <w:b/>
                <w:bCs/>
              </w:rPr>
              <w:t xml:space="preserve">Momento</w:t>
            </w:r>
          </w:p>
        </w:tc>
        <w:tc>
          <w:tcPr>
            <w:tcW w:type="pct" w:w="33.333333333333336%"/>
            <w:shd w:fill="D9E2F3" w:val="clear"/>
          </w:tcPr>
          <w:p>
            <w:pPr>
              <w:jc w:val="center"/>
            </w:pPr>
            <w:r>
              <w:rPr>
                <w:b/>
                <w:bCs/>
              </w:rPr>
              <w:t xml:space="preserve">Duração</w:t>
            </w:r>
          </w:p>
        </w:tc>
        <w:tc>
          <w:tcPr>
            <w:tcW w:type="pct" w:w="33.333333333333336%"/>
            <w:shd w:fill="D9E2F3" w:val="clear"/>
          </w:tcPr>
          <w:p>
            <w:pPr>
              <w:jc w:val="center"/>
            </w:pPr>
            <w:r>
              <w:rPr>
                <w:b/>
                <w:bCs/>
              </w:rPr>
              <w:t xml:space="preserve">Foco pedagógico</w:t>
            </w:r>
          </w:p>
        </w:tc>
      </w:tr>
      <w:tr>
        <w:tc>
          <w:tcPr>
            <w:tcW w:type="pct" w:w="33.333333333333336%"/>
          </w:tcPr>
          <w:p>
            <w:r>
              <w:rPr>
                <w:b w:val="false"/>
                <w:bCs w:val="false"/>
              </w:rPr>
              <w:t xml:space="preserve">1. Acolhida e Sondagem</w:t>
            </w:r>
          </w:p>
        </w:tc>
        <w:tc>
          <w:tcPr>
            <w:tcW w:type="pct" w:w="33.333333333333336%"/>
          </w:tcPr>
          <w:p>
            <w:r>
              <w:rPr>
                <w:b w:val="false"/>
                <w:bCs w:val="false"/>
              </w:rPr>
              <w:t xml:space="preserve">5 min</w:t>
            </w:r>
          </w:p>
        </w:tc>
        <w:tc>
          <w:tcPr>
            <w:tcW w:type="pct" w:w="33.333333333333336%"/>
          </w:tcPr>
          <w:p>
            <w:r>
              <w:rPr>
                <w:b w:val="false"/>
                <w:bCs w:val="false"/>
              </w:rPr>
              <w:t xml:space="preserve">Ausubel — ativação de subsunçores</w:t>
            </w:r>
          </w:p>
        </w:tc>
      </w:tr>
      <w:tr>
        <w:tc>
          <w:tcPr>
            <w:tcW w:type="pct" w:w="33.333333333333336%"/>
          </w:tcPr>
          <w:p>
            <w:r>
              <w:rPr>
                <w:b w:val="false"/>
                <w:bCs w:val="false"/>
              </w:rPr>
              <w:t xml:space="preserve">2. Problematização Inicial</w:t>
            </w:r>
          </w:p>
        </w:tc>
        <w:tc>
          <w:tcPr>
            <w:tcW w:type="pct" w:w="33.333333333333336%"/>
          </w:tcPr>
          <w:p>
            <w:r>
              <w:rPr>
                <w:b w:val="false"/>
                <w:bCs w:val="false"/>
              </w:rPr>
              <w:t xml:space="preserve">5 min</w:t>
            </w:r>
          </w:p>
        </w:tc>
        <w:tc>
          <w:tcPr>
            <w:tcW w:type="pct" w:w="33.333333333333336%"/>
          </w:tcPr>
          <w:p>
            <w:r>
              <w:rPr>
                <w:b w:val="false"/>
                <w:bCs w:val="false"/>
              </w:rPr>
              <w:t xml:space="preserve">Bachelard — obstáculo epistemológico antecipado</w:t>
            </w:r>
          </w:p>
        </w:tc>
      </w:tr>
      <w:tr>
        <w:tc>
          <w:tcPr>
            <w:tcW w:type="pct" w:w="33.333333333333336%"/>
          </w:tcPr>
          <w:p>
            <w:r>
              <w:rPr>
                <w:b w:val="false"/>
                <w:bCs w:val="false"/>
              </w:rPr>
              <w:t xml:space="preserve">3. Desenvolvimento Conceitual</w:t>
            </w:r>
          </w:p>
        </w:tc>
        <w:tc>
          <w:tcPr>
            <w:tcW w:type="pct" w:w="33.333333333333336%"/>
          </w:tcPr>
          <w:p>
            <w:r>
              <w:rPr>
                <w:b w:val="false"/>
                <w:bCs w:val="false"/>
              </w:rPr>
              <w:t xml:space="preserve">20 min</w:t>
            </w:r>
          </w:p>
        </w:tc>
        <w:tc>
          <w:tcPr>
            <w:tcW w:type="pct" w:w="33.333333333333336%"/>
          </w:tcPr>
          <w:p>
            <w:r>
              <w:rPr>
                <w:b w:val="false"/>
                <w:bCs w:val="false"/>
              </w:rPr>
              <w:t xml:space="preserve">Exposição dialogada</w:t>
            </w:r>
          </w:p>
        </w:tc>
      </w:tr>
      <w:tr>
        <w:tc>
          <w:tcPr>
            <w:tcW w:type="pct" w:w="33.333333333333336%"/>
          </w:tcPr>
          <w:p>
            <w:r>
              <w:rPr>
                <w:b w:val="false"/>
                <w:bCs w:val="false"/>
              </w:rPr>
              <w:t xml:space="preserve">4. Resolução Guiada</w:t>
            </w:r>
          </w:p>
        </w:tc>
        <w:tc>
          <w:tcPr>
            <w:tcW w:type="pct" w:w="33.333333333333336%"/>
          </w:tcPr>
          <w:p>
            <w:r>
              <w:rPr>
                <w:b w:val="false"/>
                <w:bCs w:val="false"/>
              </w:rPr>
              <w:t xml:space="preserve">10 min</w:t>
            </w:r>
          </w:p>
        </w:tc>
        <w:tc>
          <w:tcPr>
            <w:tcW w:type="pct" w:w="33.333333333333336%"/>
          </w:tcPr>
          <w:p>
            <w:r>
              <w:rPr>
                <w:b w:val="false"/>
                <w:bCs w:val="false"/>
              </w:rPr>
              <w:t xml:space="preserve">Vygotsky — zona de desenvolvimento proximal</w:t>
            </w:r>
          </w:p>
        </w:tc>
      </w:tr>
      <w:tr>
        <w:tc>
          <w:tcPr>
            <w:tcW w:type="pct" w:w="33.333333333333336%"/>
          </w:tcPr>
          <w:p>
            <w:r>
              <w:rPr>
                <w:b w:val="false"/>
                <w:bCs w:val="false"/>
              </w:rPr>
              <w:t xml:space="preserve">5. Exercícios de Fixação</w:t>
            </w:r>
          </w:p>
        </w:tc>
        <w:tc>
          <w:tcPr>
            <w:tcW w:type="pct" w:w="33.333333333333336%"/>
          </w:tcPr>
          <w:p>
            <w:r>
              <w:rPr>
                <w:b w:val="false"/>
                <w:bCs w:val="false"/>
              </w:rPr>
              <w:t xml:space="preserve">7 min</w:t>
            </w:r>
          </w:p>
        </w:tc>
        <w:tc>
          <w:tcPr>
            <w:tcW w:type="pct" w:w="33.333333333333336%"/>
          </w:tcPr>
          <w:p>
            <w:r>
              <w:rPr>
                <w:b w:val="false"/>
                <w:bCs w:val="false"/>
              </w:rPr>
              <w:t xml:space="preserve">Prática independente</w:t>
            </w:r>
          </w:p>
        </w:tc>
      </w:tr>
      <w:tr>
        <w:tc>
          <w:tcPr>
            <w:tcW w:type="pct" w:w="33.333333333333336%"/>
          </w:tcPr>
          <w:p>
            <w:r>
              <w:rPr>
                <w:b w:val="false"/>
                <w:bCs w:val="false"/>
              </w:rPr>
              <w:t xml:space="preserve">6. Síntese e Fechamento</w:t>
            </w:r>
          </w:p>
        </w:tc>
        <w:tc>
          <w:tcPr>
            <w:tcW w:type="pct" w:w="33.333333333333336%"/>
          </w:tcPr>
          <w:p>
            <w:r>
              <w:rPr>
                <w:b w:val="false"/>
                <w:bCs w:val="false"/>
              </w:rPr>
              <w:t xml:space="preserve">3 min</w:t>
            </w:r>
          </w:p>
        </w:tc>
        <w:tc>
          <w:tcPr>
            <w:tcW w:type="pct" w:w="33.333333333333336%"/>
          </w:tcPr>
          <w:p>
            <w:r>
              <w:rPr>
                <w:b w:val="false"/>
                <w:bCs w:val="false"/>
              </w:rPr>
              <w:t xml:space="preserve">Consolidação</w:t>
            </w:r>
          </w:p>
        </w:tc>
      </w:tr>
      <w:tr>
        <w:tc>
          <w:tcPr>
            <w:tcW w:type="pct" w:w="33.333333333333336%"/>
          </w:tcPr>
          <w:p>
            <w:r>
              <w:rPr>
                <w:b w:val="false"/>
                <w:bCs w:val="false"/>
              </w:rPr>
              <w:t xml:space="preserve">Total</w:t>
            </w:r>
          </w:p>
        </w:tc>
        <w:tc>
          <w:tcPr>
            <w:tcW w:type="pct" w:w="33.333333333333336%"/>
          </w:tcPr>
          <w:p>
            <w:r>
              <w:rPr>
                <w:b w:val="false"/>
                <w:bCs w:val="false"/>
              </w:rPr>
              <w:t xml:space="preserve">50 min</w:t>
            </w:r>
          </w:p>
        </w:tc>
        <w:tc>
          <w:tcPr>
            <w:tcW w:type="pct" w:w="33.333333333333336%"/>
          </w:tcPr>
          <w:p/>
        </w:tc>
      </w:tr>
    </w:tbl>
    <w:p>
      <w:pPr>
        <w:spacing w:after="200"/>
      </w:pPr>
    </w:p>
    <w:p>
      <w:pPr>
        <w:pStyle w:val="Heading1"/>
        <w:spacing w:after="120" w:before="200"/>
      </w:pPr>
      <w:r>
        <w:t xml:space="preserve">7. Avaliação Formativa</w:t>
      </w:r>
    </w:p>
    <w:p>
      <w:pPr>
        <w:spacing w:after="120"/>
      </w:pPr>
      <w:r>
        <w:t xml:space="preserve">Verificar se os alunos aplicam corretamente a Lei da Conservação da Massa para calcular massas de reagentes ou produtos em problemas simples.</w:t>
      </w:r>
    </w:p>
    <w:p>
      <w:pPr>
        <w:pStyle w:val="Heading1"/>
        <w:spacing w:after="120" w:before="200"/>
      </w:pPr>
      <w:r>
        <w:t xml:space="preserve">8. Lista de Exercícios de Fixação</w:t>
      </w:r>
    </w:p>
    <w:p>
      <w:pPr>
        <w:spacing w:after="120"/>
      </w:pPr>
      <w:r>
        <w:t xml:space="preserve">1. 10 g de um reagente A reagem completamente com 15 g de um reagente B, em sistema fechado, formando dois produtos. Se um dos produtos tem massa 18 g, qual é a massa do outro produto?</w:t>
      </w:r>
    </w:p>
    <w:p>
      <w:pPr>
        <w:spacing w:after="120"/>
      </w:pPr>
      <w:r>
        <w:t xml:space="preserve">2. Por que a água obtida de fontes diferentes sempre tem a mesma proporção em massa entre hidrogênio e oxigênio?</w:t>
      </w:r>
    </w:p>
    <w:p>
      <w:pPr>
        <w:spacing w:after="120"/>
      </w:pPr>
      <w:r>
        <w:t xml:space="preserve">3. Uma vela queimando parece perder massa continuamente até desaparecer. Isso contradiz a Lei da Conservação da Massa?</w:t>
      </w:r>
    </w:p>
    <w:p>
      <w:pPr>
        <w:pStyle w:val="Heading2"/>
        <w:spacing w:after="120" w:before="260"/>
      </w:pPr>
      <w:r>
        <w:t xml:space="preserve">Gabarito da Lista de Exercícios</w:t>
      </w:r>
    </w:p>
    <w:p>
      <w:pPr>
        <w:spacing w:after="120"/>
      </w:pPr>
      <w:r>
        <w:t xml:space="preserve">1. 7 g, já que a massa total dos produtos (25 g) deve ser igual à massa total dos reagentes (10 g + 15 g = 25 g), pela Lei da Conservação da Massa: 25 g − 18 g = 7 g.</w:t>
      </w:r>
    </w:p>
    <w:p>
      <w:pPr>
        <w:spacing w:after="120"/>
      </w:pPr>
      <w:r>
        <w:t xml:space="preserve">2. Porque, pela Lei das Proporções Definidas, uma substância composta sempre apresenta seus elementos constituintes na mesma proporção fixa em massa, independentemente da origem da substância.</w:t>
      </w:r>
    </w:p>
    <w:p>
      <w:pPr>
        <w:spacing w:after="120"/>
      </w:pPr>
      <w:r>
        <w:t xml:space="preserve">3. Não. A Lei da Conservação da Massa vale para sistemas fechados; a vela queima em um sistema aberto, liberando gases (como dióxido de carbono e vapor de água) para a atmosfera — se todos os produtos fossem contidos e pesados, a massa total seria igual à dos reagentes (cera e oxigênio).</w:t>
      </w:r>
    </w:p>
    <w:p>
      <w:pPr>
        <w:pStyle w:val="Heading1"/>
        <w:spacing w:after="120" w:before="200"/>
      </w:pPr>
      <w:r>
        <w:t xml:space="preserve">9. Observações e Extensão</w:t>
      </w:r>
    </w:p>
    <w:p>
      <w:pPr>
        <w:spacing w:after="120"/>
      </w:pPr>
      <w:r>
        <w:t xml:space="preserve">Essas duas leis serão retomadas formalmente no Módulo 8 (Estequiometria) — aqui a introdução é conceitual e qualitativa, sem cálculos estequiométricos completos.</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2026-09-20T16:17:15.823Z</dcterms:created>
  <dcterms:modified xsi:type="dcterms:W3CDTF">2026-09-20T16:17:15.823Z</dcterms:modified>
</cp:coreProperties>
</file>

<file path=docProps/custom.xml><?xml version="1.0" encoding="utf-8"?>
<Properties xmlns="http://schemas.openxmlformats.org/officeDocument/2006/custom-properties" xmlns:vt="http://schemas.openxmlformats.org/officeDocument/2006/docPropsVTypes"/>
</file>