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Funções Orgânicas Oxigenadas e Nitrogenadas — Aula 178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Ésteres: aromas, fragrâncias e gorduras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Orgânicas Oxigenadas e Nitrogenadas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8 (Aula 178 do currículo) — Ésteres: aromas, fragrâncias e gorduras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177 — Ácidos carboxílicos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179 — Aminas e amidas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estrutura dos ésteres e sua relação com aromas, fragrâncias e gorduras.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grupo funcional éster e sua formação a partir de ácido carboxílico e álcool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Nomear ésteres segundo a IUPAC (...-ato de ...-ila)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ésteres de cadeia curta a aromas e ésteres de ácidos graxos a óleos e gorduras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Ácidos carboxílicos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Álcoois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de ésteres associados a aromas de frutas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muitos aromas artificiais de frutas (banana, morango, maçã) são feitos, na química, a partir de uma mesma classe de compostos?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formação do éster pela reação entre um ácido carboxílico e um álcool (esterificação), com perda de água, formando o grupo -COO-. Apresentar a nomenclatura: nome do ácido de origem com sufixo -ato + 'de' + nome do radical do álcool com sufixo -ila (ex: etanoato de etila). Relacionar ésteres de cadeia curta a aromas e fragrâncias naturais e artificiais, e ésteres de ácidos graxos de cadeia longa com glicerol à formação de óleos e gorduras (triglicerídeos), fazendo ponte com a bioquímica.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Nomear em conjunto um éster simples a partir do ácido e álcool de origem.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nomenclatura de ésteres e identificação do ácido e álcool que os formaram.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da formação de ésteres e da nomenclatura correspondente.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Dê o nome do éster formado pela reação entre o ácido etanoico e o etanol.</w:t>
      </w:r>
    </w:p>
    <w:p>
      <w:pPr>
        <w:spacing w:after="120"/>
      </w:pPr>
      <w:r>
        <w:t xml:space="preserve">2. Como os ésteres se relacionam com óleos e gorduras do ponto de vista estrutural?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Etanoato de etila (éster responsável por aroma de cola/removedor de esmalte em concentração alta, e usado em pequenas quantidades como aromatizante).</w:t>
      </w:r>
    </w:p>
    <w:p>
      <w:pPr>
        <w:spacing w:after="120"/>
      </w:pPr>
      <w:r>
        <w:t xml:space="preserve">2. Óleos e gorduras (triglicerídeos) são ésteres formados pela reação entre o glicerol (um triálcool) e três ácidos graxos (ácidos carboxílicos de cadeia longa).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aminas e amidas.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2026-09-20T17:39:31.470Z</dcterms:created>
  <dcterms:modified xsi:type="dcterms:W3CDTF">2026-09-20T17:39:31.470Z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