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Leitura de gráficos, tabelas e dados experimentais em questões de Química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207 do currículo) — Leitura de gráficos, tabelas e dados experimentais em questões de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206 — Como o ENEM cobra Química: contextualização e interdisciplinaridade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208 — Estequiometria e cálculos químicos em prova: estratégia de resolução sob tempo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estratégias para leitura e interpretação de gráficos, tabelas e dados experimentais em questões de 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essenciais de um gráfico (eixos, unidades, tendência)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Extrair informações relevantes de tabelas de dados experimentais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dados apresentados graficamente a conceitos químicos estudados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Cinética química, equilíbrio químico, termoquímica (gráficos comuns em provas)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gráficos e tabelas de questões reais de vestibular/ENEM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questão com um gráfico complexo, por onde começar a leitura para não se perder nos detalhes?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uma estratégia sistemática de leitura de gráficos: primeiro identificar o que cada eixo representa e sua unidade; depois observar a tendência geral (crescente, decrescente, constante, com máximo/mínimo); só então buscar valores específicos pedidos na questão. Apresentar estratégia semelhante para tabelas: identificar cabeçalhos e unidades antes de comparar valores entre linhas/colunas. Discutir tipos de gráficos comuns em Química: curvas de titulação, gráficos de velocidade de reação vs. tempo, gráficos de solubilidade vs. temperatura, diagramas de energia de reação.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Interpretar em conjunto um gráfico real de uma questão de vestibular, aplicando a estratégia de leitura passo a passo.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leitura e interpretação de gráficos e tabelas variados.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estratégia de leitura de gráficos e tabelas.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deve ser o primeiro passo ao analisar um gráfico numa questão de Química, antes de buscar valores específicos?</w:t>
      </w:r>
    </w:p>
    <w:p>
      <w:pPr>
        <w:spacing w:after="120"/>
      </w:pPr>
      <w:r>
        <w:t xml:space="preserve">2. Cite dois tipos de gráficos comuns em questões de Química.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Identificar o que cada eixo representa e sua unidade, e observar a tendência geral da curva (crescente, decrescente, com máximo ou mínimo) — só depois disso buscar valores numéricos específicos.</w:t>
      </w:r>
    </w:p>
    <w:p>
      <w:pPr>
        <w:spacing w:after="120"/>
      </w:pPr>
      <w:r>
        <w:t xml:space="preserve">2. Exemplos válidos: curva de titulação (pH x volume de titulante), gráfico de velocidade de reação x tempo, gráfico de solubilidade x temperatura, diagrama de energia de reação (com ou sem catalisador).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estequiometria e cálculos químicos em prova, com foco em estratégia de resolução sob tempo.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2026-09-20T21:27:46.619Z</dcterms:created>
  <dcterms:modified xsi:type="dcterms:W3CDTF">2026-09-20T21:27:46.619Z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